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80"/>
      </w:pPr>
      <w:r>
        <w:rPr>
          <w:rFonts w:ascii="Lato Light" w:hAnsi="Lato Light" w:eastAsia="Lato Light" w:cs="Lato Light"/>
          <w:b/>
          <w:color w:val="000000"/>
          <w:sz w:val="22"/>
        </w:rPr>
        <w:t>KUNDENVERTRAG • DATENSCHUTZ</w:t>
      </w:r>
    </w:p>
    <w:p>
      <w:pPr>
        <w:spacing w:after="80"/>
      </w:pPr>
      <w:r>
        <w:rPr>
          <w:rFonts w:ascii="Lato Light" w:hAnsi="Lato Light" w:eastAsia="Lato Light" w:cs="Lato Light"/>
          <w:b/>
          <w:color w:val="000000"/>
          <w:sz w:val="28"/>
        </w:rPr>
        <w:t>Vereinbarung zur</w:t>
        <w:br/>
        <w:t>Auftragsverarbeitung</w:t>
      </w:r>
    </w:p>
    <w:p>
      <w:pPr>
        <w:spacing w:after="360"/>
      </w:pPr>
      <w:r>
        <w:rPr>
          <w:rFonts w:ascii="Lato Light" w:hAnsi="Lato Light" w:eastAsia="Lato Light" w:cs="Lato Light"/>
          <w:color w:val="000000"/>
          <w:sz w:val="22"/>
        </w:rPr>
        <w:t>gemäß Art. 28 DSGVO • Vantero Cloud Service</w:t>
      </w:r>
    </w:p>
    <w:tbl>
      <w:tblPr>
        <w:tblW w:type="dxa" w:w="9360"/>
        <w:tblLayout w:type="fixed"/>
        <w:tblLook w:firstColumn="1" w:firstRow="1" w:lastColumn="0" w:lastRow="0" w:noHBand="0" w:noVBand="1" w:val="04A0"/>
        <w:jc w:val="left"/>
        <w:tblInd w:w="120"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2200"/>
        <w:gridCol w:w="7160"/>
      </w:tblGrid>
      <w:tr>
        <w:trPr>
          <w:tblHeader w:val="true"/>
        </w:trPr>
        <w:tc>
          <w:tcPr>
            <w:tcW w:type="dxa" w:w="2200"/>
            <w:tcMar>
              <w:top w:w="90" w:type="dxa"/>
              <w:start w:w="120" w:type="dxa"/>
              <w:bottom w:w="90" w:type="dxa"/>
              <w:end w:w="120" w:type="dxa"/>
            </w:tcMar>
            <w:vAlign w:val="center"/>
            <w:shd w:fill="FFFFFF"/>
          </w:tcPr>
          <w:p>
            <w:pPr>
              <w:spacing w:before="0" w:after="0" w:line="259" w:lineRule="auto"/>
              <w:jc w:val="left"/>
            </w:pPr>
            <w:r>
              <w:rPr>
                <w:rFonts w:ascii="Lato Light" w:hAnsi="Lato Light" w:eastAsia="Lato Light" w:cs="Lato Light"/>
                <w:b/>
                <w:color w:val="000000"/>
                <w:sz w:val="22"/>
              </w:rPr>
              <w:t>Feld</w:t>
            </w:r>
          </w:p>
        </w:tc>
        <w:tc>
          <w:tcPr>
            <w:tcW w:type="dxa" w:w="7160"/>
            <w:tcMar>
              <w:top w:w="90" w:type="dxa"/>
              <w:start w:w="120" w:type="dxa"/>
              <w:bottom w:w="90" w:type="dxa"/>
              <w:end w:w="120" w:type="dxa"/>
            </w:tcMar>
            <w:vAlign w:val="center"/>
            <w:shd w:fill="FFFFFF"/>
          </w:tcPr>
          <w:p>
            <w:pPr>
              <w:spacing w:before="0" w:after="0" w:line="259" w:lineRule="auto"/>
              <w:jc w:val="left"/>
            </w:pPr>
            <w:r>
              <w:rPr>
                <w:rFonts w:ascii="Lato Light" w:hAnsi="Lato Light" w:eastAsia="Lato Light" w:cs="Lato Light"/>
                <w:b/>
                <w:color w:val="000000"/>
                <w:sz w:val="22"/>
              </w:rPr>
              <w:t>Angabe</w:t>
            </w:r>
          </w:p>
        </w:tc>
      </w:tr>
      <w:tr>
        <w:tc>
          <w:tcPr>
            <w:tcW w:type="dxa" w:w="22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Auftragnehmer</w:t>
            </w:r>
          </w:p>
        </w:tc>
        <w:tc>
          <w:tcPr>
            <w:tcW w:type="dxa" w:w="71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Franco Consulting GmbH, Maria-Theresia-Straße 17, 89331 Burgau, Deutschland</w:t>
            </w:r>
          </w:p>
        </w:tc>
      </w:tr>
      <w:tr>
        <w:tc>
          <w:tcPr>
            <w:tcW w:type="dxa" w:w="22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Version / Stand</w:t>
            </w:r>
          </w:p>
        </w:tc>
        <w:tc>
          <w:tcPr>
            <w:tcW w:type="dxa" w:w="71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Version 1.2 • 4. September 2026</w:t>
            </w:r>
          </w:p>
        </w:tc>
      </w:tr>
      <w:tr>
        <w:tc>
          <w:tcPr>
            <w:tcW w:type="dxa" w:w="22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Vertragsbezug</w:t>
            </w:r>
          </w:p>
        </w:tc>
        <w:tc>
          <w:tcPr>
            <w:tcW w:type="dxa" w:w="71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Vantero Cloud Service und die jeweilige Leistungsvereinbarung</w:t>
            </w:r>
          </w:p>
        </w:tc>
      </w:tr>
      <w:tr>
        <w:tc>
          <w:tcPr>
            <w:tcW w:type="dxa" w:w="22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Auftraggeber</w:t>
            </w:r>
          </w:p>
        </w:tc>
        <w:tc>
          <w:tcPr>
            <w:tcW w:type="dxa" w:w="71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Die im Vantero-Konto, Bestellnachweis oder in der Leistungsvereinbarung als Kunde bezeichnete natürliche oder juristische Person</w:t>
            </w:r>
          </w:p>
        </w:tc>
      </w:tr>
    </w:tbl>
    <w:p>
      <w:pPr>
        <w:spacing w:before="0" w:after="80" w:line="264" w:lineRule="auto"/>
      </w:pPr>
    </w:p>
    <w:p>
      <w:pPr>
        <w:keepLines/>
        <w:spacing w:before="120" w:after="200" w:line="264" w:lineRule="auto"/>
        <w:ind w:left="115" w:right="115"/>
        <w:shd w:fill="FFFFFF"/>
        <w:pBdr>
          <w:top w:val="single" w:sz="8" w:space="7" w:color="BFBFBF"/>
          <w:left w:val="single" w:sz="8" w:space="7" w:color="BFBFBF"/>
          <w:bottom w:val="single" w:sz="8" w:space="7" w:color="BFBFBF"/>
          <w:right w:val="single" w:sz="8" w:space="7" w:color="BFBFBF"/>
        </w:pBdr>
      </w:pPr>
      <w:r>
        <w:rPr>
          <w:rFonts w:ascii="Lato Light" w:hAnsi="Lato Light" w:eastAsia="Lato Light" w:cs="Lato Light"/>
          <w:b/>
          <w:color w:val="000000"/>
          <w:sz w:val="24"/>
        </w:rPr>
        <w:t>Elektronische Kundenfassung</w:t>
        <w:br/>
      </w:r>
      <w:r>
        <w:rPr>
          <w:rFonts w:ascii="Lato Light" w:hAnsi="Lato Light" w:eastAsia="Lato Light" w:cs="Lato Light"/>
          <w:color w:val="000000"/>
          <w:sz w:val="22"/>
        </w:rPr>
        <w:t>Diese Vereinbarung enthält die für Vantero geltenden Verarbeitungsbeschreibungen, technischen und organisatorischen Maßnahmen sowie die funktionsabhängigen Unterauftragnehmer. Sie wird durch Einbeziehung in die Leistungsvereinbarung oder elektronische Annahme Bestandteil des Vertrags. Auftraggeber, Vertragsbeginn und Funktionsumfang ergeben sich aus dem Kundenkonto, dem Bestellnachweis und den aktivierten Funktionen.</w:t>
      </w:r>
    </w:p>
    <w:p>
      <w:r>
        <w:br w:type="page"/>
      </w:r>
    </w:p>
    <w:p>
      <w:pPr>
        <w:spacing w:after="80"/>
      </w:pPr>
      <w:r>
        <w:rPr>
          <w:rFonts w:ascii="Lato Light" w:hAnsi="Lato Light" w:eastAsia="Lato Light" w:cs="Lato Light"/>
          <w:b/>
          <w:color w:val="000000"/>
          <w:sz w:val="28"/>
        </w:rPr>
        <w:t>VEREINBARUNG ZUR AUFTRAGSVERARBEITUNG</w:t>
      </w:r>
    </w:p>
    <w:p>
      <w:pPr>
        <w:spacing w:after="280"/>
      </w:pPr>
      <w:r>
        <w:rPr>
          <w:rFonts w:ascii="Lato Light" w:hAnsi="Lato Light" w:eastAsia="Lato Light" w:cs="Lato Light"/>
          <w:color w:val="000000"/>
          <w:sz w:val="22"/>
        </w:rPr>
        <w:t>nach Art. 28 der Datenschutz-Grundverordnung (DSGVO)</w:t>
      </w:r>
    </w:p>
    <w:tbl>
      <w:tblPr>
        <w:tblW w:type="dxa" w:w="9360"/>
        <w:jc w:val="left"/>
        <w:tblLayout w:type="fixed"/>
        <w:tblLook w:firstColumn="1" w:firstRow="1" w:lastColumn="0" w:lastRow="0" w:noHBand="0" w:noVBand="1" w:val="04A0"/>
        <w:tblInd w:w="120"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4680"/>
        <w:gridCol w:w="4680"/>
      </w:tblGrid>
      <w:tr>
        <w:trPr>
          <w:tblHeader w:val="true"/>
        </w:trPr>
        <w:tc>
          <w:tcPr>
            <w:tcW w:type="dxa" w:w="4680"/>
            <w:tcMar>
              <w:top w:w="90" w:type="dxa"/>
              <w:start w:w="120" w:type="dxa"/>
              <w:bottom w:w="90" w:type="dxa"/>
              <w:end w:w="120" w:type="dxa"/>
            </w:tcMar>
            <w:vAlign w:val="center"/>
            <w:shd w:fill="F2F2F2"/>
          </w:tcPr>
          <w:p>
            <w:pPr>
              <w:spacing w:after="0"/>
            </w:pPr>
            <w:r>
              <w:rPr>
                <w:rFonts w:ascii="Lato Light" w:hAnsi="Lato Light" w:eastAsia="Lato Light" w:cs="Lato Light"/>
                <w:b/>
                <w:color w:val="000000"/>
                <w:sz w:val="24"/>
              </w:rPr>
              <w:t>Auftraggeber (Verantwortlicher)</w:t>
            </w:r>
          </w:p>
        </w:tc>
        <w:tc>
          <w:tcPr>
            <w:tcW w:type="dxa" w:w="4680"/>
            <w:tcMar>
              <w:top w:w="90" w:type="dxa"/>
              <w:start w:w="120" w:type="dxa"/>
              <w:bottom w:w="90" w:type="dxa"/>
              <w:end w:w="120" w:type="dxa"/>
            </w:tcMar>
            <w:vAlign w:val="center"/>
            <w:shd w:fill="FFFFFF"/>
          </w:tcPr>
          <w:p>
            <w:pPr>
              <w:spacing w:after="0"/>
            </w:pPr>
            <w:r>
              <w:rPr>
                <w:rFonts w:ascii="Lato Light" w:hAnsi="Lato Light" w:eastAsia="Lato Light" w:cs="Lato Light"/>
                <w:b/>
                <w:color w:val="000000"/>
                <w:sz w:val="24"/>
              </w:rPr>
              <w:t>Auftragnehmer (Auftragsverarbeiter)</w:t>
            </w:r>
          </w:p>
        </w:tc>
      </w:tr>
      <w:tr>
        <w:tc>
          <w:tcPr>
            <w:tcW w:type="dxa" w:w="4680"/>
            <w:tcMar>
              <w:top w:w="90" w:type="dxa"/>
              <w:start w:w="120" w:type="dxa"/>
              <w:bottom w:w="90" w:type="dxa"/>
              <w:end w:w="120" w:type="dxa"/>
            </w:tcMar>
            <w:vAlign w:val="center"/>
            <w:shd w:fill="F2F2F2"/>
          </w:tcPr>
          <w:p>
            <w:pPr>
              <w:spacing w:before="0" w:after="40"/>
            </w:pPr>
            <w:r>
              <w:rPr>
                <w:rFonts w:ascii="Lato Light" w:hAnsi="Lato Light" w:eastAsia="Lato Light" w:cs="Lato Light"/>
                <w:i w:val="0"/>
                <w:color w:val="000000"/>
                <w:sz w:val="22"/>
              </w:rPr>
              <w:t>Die natürliche oder juristische Person, die im Vantero-Konto, Bestellnachweis oder in der Leistungsvereinbarung als Kunde bezeichnet ist</w:t>
            </w:r>
          </w:p>
          <w:p>
            <w:pPr>
              <w:spacing w:before="0" w:after="40"/>
            </w:pPr>
            <w:r>
              <w:rPr>
                <w:rFonts w:ascii="Lato Light" w:hAnsi="Lato Light" w:eastAsia="Lato Light" w:cs="Lato Light"/>
                <w:i w:val="0"/>
                <w:color w:val="000000"/>
                <w:sz w:val="22"/>
              </w:rPr>
              <w:t>Vertreten durch die dort hinterlegten vertretungsberechtigten beziehungsweise administrativen Kontakte</w:t>
            </w:r>
          </w:p>
          <w:p>
            <w:pPr>
              <w:spacing w:before="0" w:after="40"/>
            </w:pPr>
            <w:r>
              <w:rPr>
                <w:rFonts w:ascii="Lato Light" w:hAnsi="Lato Light" w:eastAsia="Lato Light" w:cs="Lato Light"/>
                <w:i/>
                <w:color w:val="000000"/>
                <w:sz w:val="22"/>
              </w:rPr>
              <w:t>– nachfolgend „Auftraggeber“ –</w:t>
            </w:r>
          </w:p>
        </w:tc>
        <w:tc>
          <w:tcPr>
            <w:tcW w:type="dxa" w:w="4680"/>
            <w:tcMar>
              <w:top w:w="90" w:type="dxa"/>
              <w:start w:w="120" w:type="dxa"/>
              <w:bottom w:w="90" w:type="dxa"/>
              <w:end w:w="120" w:type="dxa"/>
            </w:tcMar>
            <w:vAlign w:val="center"/>
            <w:shd w:fill="FFFFFF"/>
          </w:tcPr>
          <w:p>
            <w:pPr>
              <w:spacing w:before="0" w:after="40"/>
            </w:pPr>
            <w:r>
              <w:rPr>
                <w:rFonts w:ascii="Lato Light" w:hAnsi="Lato Light" w:eastAsia="Lato Light" w:cs="Lato Light"/>
                <w:i w:val="0"/>
                <w:color w:val="000000"/>
                <w:sz w:val="22"/>
              </w:rPr>
              <w:t>Franco Consulting GmbH</w:t>
            </w:r>
          </w:p>
          <w:p>
            <w:pPr>
              <w:spacing w:before="0" w:after="40"/>
            </w:pPr>
            <w:r>
              <w:rPr>
                <w:rFonts w:ascii="Lato Light" w:hAnsi="Lato Light" w:eastAsia="Lato Light" w:cs="Lato Light"/>
                <w:i w:val="0"/>
                <w:color w:val="000000"/>
                <w:sz w:val="22"/>
              </w:rPr>
              <w:t>Maria-Theresia-Straße 17</w:t>
            </w:r>
          </w:p>
          <w:p>
            <w:pPr>
              <w:spacing w:before="0" w:after="40"/>
            </w:pPr>
            <w:r>
              <w:rPr>
                <w:rFonts w:ascii="Lato Light" w:hAnsi="Lato Light" w:eastAsia="Lato Light" w:cs="Lato Light"/>
                <w:i w:val="0"/>
                <w:color w:val="000000"/>
                <w:sz w:val="22"/>
              </w:rPr>
              <w:t>89331 Burgau, Deutschland</w:t>
            </w:r>
          </w:p>
          <w:p>
            <w:pPr>
              <w:spacing w:before="0" w:after="40"/>
            </w:pPr>
            <w:r>
              <w:rPr>
                <w:rFonts w:ascii="Lato Light" w:hAnsi="Lato Light" w:eastAsia="Lato Light" w:cs="Lato Light"/>
                <w:i w:val="0"/>
                <w:color w:val="000000"/>
                <w:sz w:val="22"/>
              </w:rPr>
              <w:t>vertreten durch die Geschäftsführer Kilian Franco und Lukas Kraus</w:t>
            </w:r>
          </w:p>
          <w:p>
            <w:pPr>
              <w:spacing w:before="0" w:after="40"/>
            </w:pPr>
            <w:r>
              <w:rPr>
                <w:rFonts w:ascii="Lato Light" w:hAnsi="Lato Light" w:eastAsia="Lato Light" w:cs="Lato Light"/>
                <w:i w:val="0"/>
                <w:color w:val="000000"/>
                <w:sz w:val="22"/>
              </w:rPr>
              <w:t>Datenschutzkontakt: kontakt@franco-consulting.com</w:t>
            </w:r>
          </w:p>
          <w:p>
            <w:pPr>
              <w:spacing w:before="0" w:after="40"/>
            </w:pPr>
            <w:r>
              <w:rPr>
                <w:rFonts w:ascii="Lato Light" w:hAnsi="Lato Light" w:eastAsia="Lato Light" w:cs="Lato Light"/>
                <w:i/>
                <w:color w:val="000000"/>
                <w:sz w:val="22"/>
              </w:rPr>
              <w:t>– nachfolgend „Auftragnehmer“ –</w:t>
            </w:r>
          </w:p>
        </w:tc>
      </w:tr>
    </w:tbl>
    <w:p>
      <w:pPr>
        <w:pStyle w:val="Heading1"/>
        <w:keepNext/>
      </w:pPr>
      <w:r>
        <w:t>Präambel</w:t>
      </w:r>
    </w:p>
    <w:p>
      <w:pPr>
        <w:spacing w:before="0" w:after="120" w:line="264" w:lineRule="auto"/>
      </w:pPr>
      <w:r>
        <w:rPr>
          <w:rFonts w:ascii="Lato Light" w:hAnsi="Lato Light" w:eastAsia="Lato Light" w:cs="Lato Light"/>
          <w:b w:val="0"/>
          <w:i w:val="0"/>
          <w:color w:val="000000"/>
          <w:sz w:val="22"/>
        </w:rPr>
        <w:t>Der Auftragnehmer stellt dem Auftraggeber den KI-gestützten Cloud-Dienst „Vantero“ einschließlich der vereinbarten Web-, Mobil-, API-, Datei-, Wissens-, Assistenz- und Integrationsfunktionen bereit. Soweit der Auftragnehmer dabei personenbezogene Daten im Auftrag des Auftraggebers verarbeitet, gelten ergänzend zur Leistungsvereinbarung die nachstehenden Bestimmungen.</w:t>
      </w:r>
    </w:p>
    <w:p>
      <w:pPr>
        <w:spacing w:before="0" w:after="120" w:line="264" w:lineRule="auto"/>
      </w:pPr>
      <w:r>
        <w:rPr>
          <w:rFonts w:ascii="Lato Light" w:hAnsi="Lato Light" w:eastAsia="Lato Light" w:cs="Lato Light"/>
          <w:b w:val="0"/>
          <w:i w:val="0"/>
          <w:color w:val="000000"/>
          <w:sz w:val="22"/>
        </w:rPr>
        <w:t>Diese Vereinbarung konkretisiert die Rechte und Pflichten der Parteien nach Art. 28 DSGVO. Sie ist als individueller Vertrag nach Art. 28 Abs. 6 DSGVO ausgestaltet; die Anlagen sind Vertragsbestandteil.</w:t>
      </w:r>
    </w:p>
    <w:p>
      <w:pPr>
        <w:pStyle w:val="Heading1"/>
        <w:keepNext/>
      </w:pPr>
      <w:r>
        <w:t>§ 1 Gegenstand, Geltungsbereich und Rang</w:t>
      </w:r>
    </w:p>
    <w:p>
      <w:pPr>
        <w:numPr>
          <w:ilvl w:val="0"/>
          <w:numId w:val="11"/>
        </w:numPr>
        <w:spacing w:after="100" w:line="280" w:lineRule="auto"/>
        <w:ind w:left="720" w:hanging="360"/>
      </w:pPr>
      <w:r>
        <w:rPr>
          <w:rFonts w:ascii="Lato Light" w:hAnsi="Lato Light" w:eastAsia="Lato Light" w:cs="Lato Light"/>
          <w:color w:val="000000"/>
          <w:sz w:val="22"/>
        </w:rPr>
        <w:t>Gegenstand dieser Vereinbarung ist jede Verarbeitung personenbezogener Daten, die der Auftragnehmer zur Erbringung der Leistungsvereinbarung im Auftrag des Auftraggebers vornimmt („Auftragsdaten“).</w:t>
      </w:r>
    </w:p>
    <w:p>
      <w:pPr>
        <w:numPr>
          <w:ilvl w:val="0"/>
          <w:numId w:val="11"/>
        </w:numPr>
        <w:spacing w:after="100" w:line="280" w:lineRule="auto"/>
        <w:ind w:left="720" w:hanging="360"/>
      </w:pPr>
      <w:r>
        <w:rPr>
          <w:rFonts w:ascii="Lato Light" w:hAnsi="Lato Light" w:eastAsia="Lato Light" w:cs="Lato Light"/>
          <w:color w:val="000000"/>
          <w:sz w:val="22"/>
        </w:rPr>
        <w:t>Gegenstand, Dauer, Art und Zweck der Verarbeitung, Datenarten und Kategorien betroffener Personen ergeben sich aus Anlage 1.</w:t>
      </w:r>
    </w:p>
    <w:p>
      <w:pPr>
        <w:numPr>
          <w:ilvl w:val="0"/>
          <w:numId w:val="11"/>
        </w:numPr>
        <w:spacing w:after="100" w:line="280" w:lineRule="auto"/>
        <w:ind w:left="720" w:hanging="360"/>
      </w:pPr>
      <w:r>
        <w:rPr>
          <w:rFonts w:ascii="Lato Light" w:hAnsi="Lato Light" w:eastAsia="Lato Light" w:cs="Lato Light"/>
          <w:color w:val="000000"/>
          <w:sz w:val="22"/>
        </w:rPr>
        <w:t>Soweit Regelungen der Leistungsvereinbarung dieser Vereinbarung widersprechen, geht diese Vereinbarung für die Verarbeitung von Auftragsdaten vor. Zwingende gesetzliche Vorschriften und anwendbare Standardvertragsklauseln bleiben unberührt.</w:t>
      </w:r>
    </w:p>
    <w:p>
      <w:pPr>
        <w:numPr>
          <w:ilvl w:val="0"/>
          <w:numId w:val="11"/>
        </w:numPr>
        <w:spacing w:after="100" w:line="280" w:lineRule="auto"/>
        <w:ind w:left="720" w:hanging="360"/>
      </w:pPr>
      <w:r>
        <w:rPr>
          <w:rFonts w:ascii="Lato Light" w:hAnsi="Lato Light" w:eastAsia="Lato Light" w:cs="Lato Light"/>
          <w:color w:val="000000"/>
          <w:sz w:val="22"/>
        </w:rPr>
        <w:t>Verarbeitungen, bei denen eine Partei oder ein Dritter Zwecke und Mittel eigenständig bestimmt, fallen nicht in den Anwendungsbereich. Dies kann insbesondere Zahlungs- und App-Store-Dienste, Identitätsanbieter sowie vom Auftraggeber selbst verbundene Zielsysteme betreffen; die Rollen werden je Dienst gesondert bestimmt.</w:t>
      </w:r>
    </w:p>
    <w:p>
      <w:pPr>
        <w:pStyle w:val="Heading1"/>
        <w:keepNext/>
      </w:pPr>
      <w:r>
        <w:t>§ 2 Dauer</w:t>
      </w:r>
    </w:p>
    <w:p>
      <w:pPr>
        <w:numPr>
          <w:ilvl w:val="0"/>
          <w:numId w:val="12"/>
        </w:numPr>
        <w:spacing w:after="100" w:line="280" w:lineRule="auto"/>
        <w:ind w:left="720" w:hanging="360"/>
      </w:pPr>
      <w:r>
        <w:rPr>
          <w:rFonts w:ascii="Lato Light" w:hAnsi="Lato Light" w:eastAsia="Lato Light" w:cs="Lato Light"/>
          <w:color w:val="000000"/>
          <w:sz w:val="22"/>
        </w:rPr>
        <w:t>Diese Vereinbarung tritt durch Einbeziehung in die Leistungsvereinbarung oder durch ausdrückliche elektronische Annahme in Kraft. Der elektronische Vertragsnachweis ordnet den Auftraggeber über Kundenkonto, Bestell- oder Vertragsreferenz, angenommene Version und Zeitpunkt zu. Der Auftragnehmer beginnt eine Auftragsverarbeitung erst, nachdem diese Vereinbarung für beide Parteien verbindlich geworden ist.</w:t>
      </w:r>
    </w:p>
    <w:p>
      <w:pPr>
        <w:numPr>
          <w:ilvl w:val="0"/>
          <w:numId w:val="12"/>
        </w:numPr>
        <w:spacing w:after="100" w:line="280" w:lineRule="auto"/>
        <w:ind w:left="720" w:hanging="360"/>
      </w:pPr>
      <w:r>
        <w:rPr>
          <w:rFonts w:ascii="Lato Light" w:hAnsi="Lato Light" w:eastAsia="Lato Light" w:cs="Lato Light"/>
          <w:color w:val="000000"/>
          <w:sz w:val="22"/>
        </w:rPr>
        <w:t>Sie gilt für die Dauer der Leistungsvereinbarung und darüber hinaus, solange der Auftragnehmer oder ein Unterauftragnehmer Auftragsdaten besitzt oder verarbeitet. Rückgabe-, Lösch- und Nachweispflichten bleiben bis zu ihrer vollständigen Erfüllung bestehen.</w:t>
      </w:r>
    </w:p>
    <w:p>
      <w:pPr>
        <w:pStyle w:val="Heading1"/>
        <w:keepNext/>
      </w:pPr>
      <w:r>
        <w:t>§ 3 Weisungen und Verantwortlichkeit des Auftraggebers</w:t>
      </w:r>
    </w:p>
    <w:p>
      <w:pPr>
        <w:numPr>
          <w:ilvl w:val="0"/>
          <w:numId w:val="13"/>
        </w:numPr>
        <w:spacing w:after="100" w:line="280" w:lineRule="auto"/>
        <w:ind w:left="720" w:hanging="360"/>
      </w:pPr>
      <w:r>
        <w:rPr>
          <w:rFonts w:ascii="Lato Light" w:hAnsi="Lato Light" w:eastAsia="Lato Light" w:cs="Lato Light"/>
          <w:color w:val="000000"/>
          <w:sz w:val="22"/>
        </w:rPr>
        <w:t>Der Auftraggeber ist für die Rechtmäßigkeit der Erhebung, Übermittlung und Verarbeitung der Auftragsdaten sowie für die Wahrung der Betroffenenrechte verantwortlich. Er bestimmt die Zwecke und die wesentlichen Mittel der Verarbeitung.</w:t>
      </w:r>
    </w:p>
    <w:p>
      <w:pPr>
        <w:numPr>
          <w:ilvl w:val="0"/>
          <w:numId w:val="13"/>
        </w:numPr>
        <w:spacing w:after="100" w:line="280" w:lineRule="auto"/>
        <w:ind w:left="720" w:hanging="360"/>
      </w:pPr>
      <w:r>
        <w:rPr>
          <w:rFonts w:ascii="Lato Light" w:hAnsi="Lato Light" w:eastAsia="Lato Light" w:cs="Lato Light"/>
          <w:color w:val="000000"/>
          <w:sz w:val="22"/>
        </w:rPr>
        <w:t>Die Leistungsvereinbarung, diese Vereinbarung, die vom Auftraggeber gewählten Funktionen, Modelle, Datenzonen und Integrationen sowie dokumentierte Konfigurationen bilden die anfängliche Weisung. Weitere Weisungen können in Textform an den in Anlage 4 genannten Kontakt erteilt werden.</w:t>
      </w:r>
    </w:p>
    <w:p>
      <w:pPr>
        <w:numPr>
          <w:ilvl w:val="0"/>
          <w:numId w:val="13"/>
        </w:numPr>
        <w:spacing w:after="100" w:line="280" w:lineRule="auto"/>
        <w:ind w:left="720" w:hanging="360"/>
      </w:pPr>
      <w:r>
        <w:rPr>
          <w:rFonts w:ascii="Lato Light" w:hAnsi="Lato Light" w:eastAsia="Lato Light" w:cs="Lato Light"/>
          <w:color w:val="000000"/>
          <w:sz w:val="22"/>
        </w:rPr>
        <w:t>Der Auftragnehmer verarbeitet Auftragsdaten ausschließlich auf dokumentierte Weisung des Auftraggebers, auch hinsichtlich einer Übermittlung in Drittländer oder an internationale Organisationen, sofern keine unions- oder mitgliedstaatliche Rechtspflicht besteht. In diesem Fall informiert er den Auftraggeber vor der Verarbeitung, soweit dies gesetzlich zulässig ist.</w:t>
      </w:r>
    </w:p>
    <w:p>
      <w:pPr>
        <w:numPr>
          <w:ilvl w:val="0"/>
          <w:numId w:val="13"/>
        </w:numPr>
        <w:spacing w:after="100" w:line="280" w:lineRule="auto"/>
        <w:ind w:left="720" w:hanging="360"/>
      </w:pPr>
      <w:r>
        <w:rPr>
          <w:rFonts w:ascii="Lato Light" w:hAnsi="Lato Light" w:eastAsia="Lato Light" w:cs="Lato Light"/>
          <w:color w:val="000000"/>
          <w:sz w:val="22"/>
        </w:rPr>
        <w:t>Hält der Auftragnehmer eine Weisung für datenschutzrechtswidrig, informiert er den Auftraggeber unverzüglich und darf die betreffende Weisung bis zur Bestätigung oder Änderung aussetzen.</w:t>
      </w:r>
    </w:p>
    <w:p>
      <w:pPr>
        <w:numPr>
          <w:ilvl w:val="0"/>
          <w:numId w:val="13"/>
        </w:numPr>
        <w:spacing w:after="100" w:line="280" w:lineRule="auto"/>
        <w:ind w:left="720" w:hanging="360"/>
      </w:pPr>
      <w:r>
        <w:rPr>
          <w:rFonts w:ascii="Lato Light" w:hAnsi="Lato Light" w:eastAsia="Lato Light" w:cs="Lato Light"/>
          <w:color w:val="000000"/>
          <w:sz w:val="22"/>
        </w:rPr>
        <w:t>Der Auftraggeber nutzt die verfügbaren Modell-, Datenzonen- und Integrationsoptionen entsprechend seinem Schutzbedarf und weist seine Nutzer an, keine Daten einzugeben, deren Verarbeitung nicht rechtmäßig oder nicht vom vereinbarten Funktionsumfang umfasst ist.</w:t>
      </w:r>
    </w:p>
    <w:p>
      <w:pPr>
        <w:pStyle w:val="Heading1"/>
        <w:keepNext/>
      </w:pPr>
      <w:r>
        <w:t>§ 4 Pflichten des Auftragnehmers</w:t>
      </w:r>
    </w:p>
    <w:p>
      <w:pPr>
        <w:numPr>
          <w:ilvl w:val="0"/>
          <w:numId w:val="14"/>
        </w:numPr>
        <w:spacing w:after="100" w:line="280" w:lineRule="auto"/>
        <w:ind w:left="720" w:hanging="360"/>
      </w:pPr>
      <w:r>
        <w:rPr>
          <w:rFonts w:ascii="Lato Light" w:hAnsi="Lato Light" w:eastAsia="Lato Light" w:cs="Lato Light"/>
          <w:color w:val="000000"/>
          <w:sz w:val="22"/>
        </w:rPr>
        <w:t>Der Auftragnehmer verarbeitet Auftragsdaten ausschließlich zur Erbringung der vereinbarten Leistungen und nicht für eigene, mit dem Auftrag unvereinbare Zwecke.</w:t>
      </w:r>
    </w:p>
    <w:p>
      <w:pPr>
        <w:numPr>
          <w:ilvl w:val="0"/>
          <w:numId w:val="14"/>
        </w:numPr>
        <w:spacing w:after="100" w:line="280" w:lineRule="auto"/>
        <w:ind w:left="720" w:hanging="360"/>
      </w:pPr>
      <w:r>
        <w:rPr>
          <w:rFonts w:ascii="Lato Light" w:hAnsi="Lato Light" w:eastAsia="Lato Light" w:cs="Lato Light"/>
          <w:color w:val="000000"/>
          <w:sz w:val="22"/>
        </w:rPr>
        <w:t>Der Auftragnehmer verwendet Auftragsdaten weder zum Training noch zum Fine-Tuning eigener KI-Modelle. Ein Unterauftragnehmer darf Auftragsdaten nur erhalten, wenn dessen Trainingsnutzung vertraglich ausgeschlossen oder eine erforderliche Opt-out-Konfiguration nachweisbar aktiviert ist. Feedbackfunktionen, die Eingaben oder Ausgaben an Anbieter zu Trainingszwecken übertragen, werden für Auftragsdaten nicht genutzt.</w:t>
      </w:r>
    </w:p>
    <w:p>
      <w:pPr>
        <w:numPr>
          <w:ilvl w:val="0"/>
          <w:numId w:val="14"/>
        </w:numPr>
        <w:spacing w:after="100" w:line="280" w:lineRule="auto"/>
        <w:ind w:left="720" w:hanging="360"/>
      </w:pPr>
      <w:r>
        <w:rPr>
          <w:rFonts w:ascii="Lato Light" w:hAnsi="Lato Light" w:eastAsia="Lato Light" w:cs="Lato Light"/>
          <w:color w:val="000000"/>
          <w:sz w:val="22"/>
        </w:rPr>
        <w:t>Soweit ein Anbieter eine inhaltsbezogene Speicherung aus Sicherheits- oder Missbrauchspräventionsgründen vorsieht, gilt die anbieterspezifische, in Anlage 3 offengelegte Regelung. Eine pauschale Zero-Data-Retention-Zusage wird nur für Dienste abgegeben, für die sie vertraglich oder technisch belegt ist.</w:t>
      </w:r>
    </w:p>
    <w:p>
      <w:pPr>
        <w:numPr>
          <w:ilvl w:val="0"/>
          <w:numId w:val="14"/>
        </w:numPr>
        <w:spacing w:after="100" w:line="280" w:lineRule="auto"/>
        <w:ind w:left="720" w:hanging="360"/>
      </w:pPr>
      <w:r>
        <w:rPr>
          <w:rFonts w:ascii="Lato Light" w:hAnsi="Lato Light" w:eastAsia="Lato Light" w:cs="Lato Light"/>
          <w:color w:val="000000"/>
          <w:sz w:val="22"/>
        </w:rPr>
        <w:t>Der Auftragnehmer gewährleistet, dass zur Verarbeitung befugte Personen auf Vertraulichkeit verpflichtet sind oder einer angemessenen gesetzlichen Verschwiegenheitspflicht unterliegen und nur im erforderlichen Umfang Zugang erhalten.</w:t>
      </w:r>
    </w:p>
    <w:p>
      <w:pPr>
        <w:numPr>
          <w:ilvl w:val="0"/>
          <w:numId w:val="14"/>
        </w:numPr>
        <w:spacing w:after="100" w:line="280" w:lineRule="auto"/>
        <w:ind w:left="720" w:hanging="360"/>
      </w:pPr>
      <w:r>
        <w:rPr>
          <w:rFonts w:ascii="Lato Light" w:hAnsi="Lato Light" w:eastAsia="Lato Light" w:cs="Lato Light"/>
          <w:color w:val="000000"/>
          <w:sz w:val="22"/>
        </w:rPr>
        <w:t>Der Auftragnehmer führt die nach Art. 30 Abs. 2 DSGVO erforderlichen Verzeichnisse und arbeitet auf Anfrage mit der zuständigen Aufsichtsbehörde zusammen.</w:t>
      </w:r>
    </w:p>
    <w:p>
      <w:pPr>
        <w:numPr>
          <w:ilvl w:val="0"/>
          <w:numId w:val="14"/>
        </w:numPr>
        <w:spacing w:after="100" w:line="280" w:lineRule="auto"/>
        <w:ind w:left="720" w:hanging="360"/>
      </w:pPr>
      <w:r>
        <w:rPr>
          <w:rFonts w:ascii="Lato Light" w:hAnsi="Lato Light" w:eastAsia="Lato Light" w:cs="Lato Light"/>
          <w:color w:val="000000"/>
          <w:sz w:val="22"/>
        </w:rPr>
        <w:t>Der Auftragnehmer kontrolliert regelmäßig die Wirksamkeit seiner technischen und organisatorischen Maßnahmen und beseitigt festgestellte wesentliche Mängel innerhalb risikoadäquater Fristen.</w:t>
      </w:r>
    </w:p>
    <w:p>
      <w:pPr>
        <w:pStyle w:val="Heading1"/>
        <w:keepNext/>
      </w:pPr>
      <w:r>
        <w:t>§ 5 Technische und organisatorische Maßnahmen</w:t>
      </w:r>
    </w:p>
    <w:p>
      <w:pPr>
        <w:numPr>
          <w:ilvl w:val="0"/>
          <w:numId w:val="15"/>
        </w:numPr>
        <w:spacing w:after="100" w:line="280" w:lineRule="auto"/>
        <w:ind w:left="720" w:hanging="360"/>
      </w:pPr>
      <w:r>
        <w:rPr>
          <w:rFonts w:ascii="Lato Light" w:hAnsi="Lato Light" w:eastAsia="Lato Light" w:cs="Lato Light"/>
          <w:color w:val="000000"/>
          <w:sz w:val="22"/>
        </w:rPr>
        <w:t>Der Auftragnehmer trifft unter Berücksichtigung des Stands der Technik, der Implementierungskosten sowie Art, Umfang, Umständen und Zwecken der Verarbeitung und der Risiken geeignete technische und organisatorische Maßnahmen gemäß Art. 32 DSGVO.</w:t>
      </w:r>
    </w:p>
    <w:p>
      <w:pPr>
        <w:numPr>
          <w:ilvl w:val="0"/>
          <w:numId w:val="15"/>
        </w:numPr>
        <w:spacing w:after="100" w:line="280" w:lineRule="auto"/>
        <w:ind w:left="720" w:hanging="360"/>
      </w:pPr>
      <w:r>
        <w:rPr>
          <w:rFonts w:ascii="Lato Light" w:hAnsi="Lato Light" w:eastAsia="Lato Light" w:cs="Lato Light"/>
          <w:color w:val="000000"/>
          <w:sz w:val="22"/>
        </w:rPr>
        <w:t>Die bei Vertragsschluss vereinbarten Maßnahmen sind in Anlage 2 beschrieben. Der Auftragnehmer darf sie an technische Entwicklungen anpassen, sofern das vereinbarte Schutzniveau insgesamt nicht unterschritten wird.</w:t>
      </w:r>
    </w:p>
    <w:p>
      <w:pPr>
        <w:numPr>
          <w:ilvl w:val="0"/>
          <w:numId w:val="15"/>
        </w:numPr>
        <w:spacing w:after="100" w:line="280" w:lineRule="auto"/>
        <w:ind w:left="720" w:hanging="360"/>
      </w:pPr>
      <w:r>
        <w:rPr>
          <w:rFonts w:ascii="Lato Light" w:hAnsi="Lato Light" w:eastAsia="Lato Light" w:cs="Lato Light"/>
          <w:color w:val="000000"/>
          <w:sz w:val="22"/>
        </w:rPr>
        <w:t>Wesentliche Änderungen, die das Schutzniveau oder die Risikobewertung beeinflussen können, teilt der Auftragnehmer dem Auftraggeber in Textform mit. Auf Anfrage stellt er eine aktualisierte Fassung der TOM bereit.</w:t>
      </w:r>
    </w:p>
    <w:p>
      <w:pPr>
        <w:numPr>
          <w:ilvl w:val="0"/>
          <w:numId w:val="15"/>
        </w:numPr>
        <w:spacing w:after="100" w:line="280" w:lineRule="auto"/>
        <w:ind w:left="720" w:hanging="360"/>
      </w:pPr>
      <w:r>
        <w:rPr>
          <w:rFonts w:ascii="Lato Light" w:hAnsi="Lato Light" w:eastAsia="Lato Light" w:cs="Lato Light"/>
          <w:color w:val="000000"/>
          <w:sz w:val="22"/>
        </w:rPr>
        <w:t>Die in Anlage 2 genannten ISO-27001-, BSI-C5- oder sonstigen Zertifizierungen beziehen sich nur auf den dort genannten Infrastruktur- oder Unterauftragnehmer und stellen keine Zertifizierung der Franco Consulting GmbH dar.</w:t>
      </w:r>
    </w:p>
    <w:p>
      <w:pPr>
        <w:pStyle w:val="Heading1"/>
        <w:keepNext/>
      </w:pPr>
      <w:r>
        <w:t>§ 6 Unterstützung des Auftraggebers</w:t>
      </w:r>
    </w:p>
    <w:p>
      <w:pPr>
        <w:numPr>
          <w:ilvl w:val="0"/>
          <w:numId w:val="16"/>
        </w:numPr>
        <w:spacing w:after="100" w:line="280" w:lineRule="auto"/>
        <w:ind w:left="720" w:hanging="360"/>
      </w:pPr>
      <w:r>
        <w:rPr>
          <w:rFonts w:ascii="Lato Light" w:hAnsi="Lato Light" w:eastAsia="Lato Light" w:cs="Lato Light"/>
          <w:color w:val="000000"/>
          <w:sz w:val="22"/>
        </w:rPr>
        <w:t>Der Auftragnehmer unterstützt den Auftraggeber unter Berücksichtigung der Art der Verarbeitung durch geeignete technische und organisatorische Maßnahmen bei der Erfüllung von Anträgen betroffener Personen nach Kapitel III DSGVO.</w:t>
      </w:r>
    </w:p>
    <w:p>
      <w:pPr>
        <w:numPr>
          <w:ilvl w:val="0"/>
          <w:numId w:val="16"/>
        </w:numPr>
        <w:spacing w:after="100" w:line="280" w:lineRule="auto"/>
        <w:ind w:left="720" w:hanging="360"/>
      </w:pPr>
      <w:r>
        <w:rPr>
          <w:rFonts w:ascii="Lato Light" w:hAnsi="Lato Light" w:eastAsia="Lato Light" w:cs="Lato Light"/>
          <w:color w:val="000000"/>
          <w:sz w:val="22"/>
        </w:rPr>
        <w:t>Er leitet Anfragen betroffener Personen, die Auftragsdaten betreffen, unverzüglich an den Auftraggeber weiter und beantwortet sie nicht eigenständig, sofern er hierzu nicht angewiesen oder gesetzlich verpflichtet ist.</w:t>
      </w:r>
    </w:p>
    <w:p>
      <w:pPr>
        <w:numPr>
          <w:ilvl w:val="0"/>
          <w:numId w:val="16"/>
        </w:numPr>
        <w:spacing w:after="100" w:line="280" w:lineRule="auto"/>
        <w:ind w:left="720" w:hanging="360"/>
      </w:pPr>
      <w:r>
        <w:rPr>
          <w:rFonts w:ascii="Lato Light" w:hAnsi="Lato Light" w:eastAsia="Lato Light" w:cs="Lato Light"/>
          <w:color w:val="000000"/>
          <w:sz w:val="22"/>
        </w:rPr>
        <w:t>Der Auftragnehmer unterstützt den Auftraggeber unter Berücksichtigung der verfügbaren Informationen bei der Einhaltung der Art. 32 bis 36 DSGVO, insbesondere bei Risikobewertungen, Datenschutz-Folgenabschätzungen, Konsultationen und der Wiederherstellung nach Sicherheitsvorfällen.</w:t>
      </w:r>
    </w:p>
    <w:p>
      <w:pPr>
        <w:numPr>
          <w:ilvl w:val="0"/>
          <w:numId w:val="16"/>
        </w:numPr>
        <w:spacing w:after="100" w:line="280" w:lineRule="auto"/>
        <w:ind w:left="720" w:hanging="360"/>
      </w:pPr>
      <w:r>
        <w:rPr>
          <w:rFonts w:ascii="Lato Light" w:hAnsi="Lato Light" w:eastAsia="Lato Light" w:cs="Lato Light"/>
          <w:color w:val="000000"/>
          <w:sz w:val="22"/>
        </w:rPr>
        <w:t>Soweit der Auftraggeber Informationen für seine Rechenschaftspflicht benötigt, stellt der Auftragnehmer angemessene, vorhandene Dokumentationen zur Verfügung. Zusatzaufwand außerhalb gesetzlich zwingender Pflichten kann nach vorheriger Abstimmung vergütet werden.</w:t>
      </w:r>
    </w:p>
    <w:p>
      <w:pPr>
        <w:pStyle w:val="Heading1"/>
        <w:keepNext/>
      </w:pPr>
      <w:r>
        <w:t>§ 7 Verletzungen des Schutzes personenbezogener Daten</w:t>
      </w:r>
    </w:p>
    <w:p>
      <w:pPr>
        <w:numPr>
          <w:ilvl w:val="0"/>
          <w:numId w:val="17"/>
        </w:numPr>
        <w:spacing w:after="100" w:line="280" w:lineRule="auto"/>
        <w:ind w:left="720" w:hanging="360"/>
      </w:pPr>
      <w:r>
        <w:rPr>
          <w:rFonts w:ascii="Lato Light" w:hAnsi="Lato Light" w:eastAsia="Lato Light" w:cs="Lato Light"/>
          <w:color w:val="000000"/>
          <w:sz w:val="22"/>
        </w:rPr>
        <w:t>Der Auftragnehmer informiert den Auftraggeber unverzüglich, nachdem ihm eine Verletzung des Schutzes von Auftragsdaten bekannt geworden ist.</w:t>
      </w:r>
    </w:p>
    <w:p>
      <w:pPr>
        <w:numPr>
          <w:ilvl w:val="0"/>
          <w:numId w:val="17"/>
        </w:numPr>
        <w:spacing w:after="100" w:line="280" w:lineRule="auto"/>
        <w:ind w:left="720" w:hanging="360"/>
      </w:pPr>
      <w:r>
        <w:rPr>
          <w:rFonts w:ascii="Lato Light" w:hAnsi="Lato Light" w:eastAsia="Lato Light" w:cs="Lato Light"/>
          <w:color w:val="000000"/>
          <w:sz w:val="22"/>
        </w:rPr>
        <w:t>Die Meldung enthält, soweit verfügbar, Art und Umfang des Vorfalls, betroffene Daten und Personen, wahrscheinliche Folgen, ergriffene oder vorgeschlagene Maßnahmen sowie einen erreichbaren Kontakt. Fehlende Informationen werden ohne unangemessene Verzögerung nachgereicht.</w:t>
      </w:r>
    </w:p>
    <w:p>
      <w:pPr>
        <w:numPr>
          <w:ilvl w:val="0"/>
          <w:numId w:val="17"/>
        </w:numPr>
        <w:spacing w:after="100" w:line="280" w:lineRule="auto"/>
        <w:ind w:left="720" w:hanging="360"/>
      </w:pPr>
      <w:r>
        <w:rPr>
          <w:rFonts w:ascii="Lato Light" w:hAnsi="Lato Light" w:eastAsia="Lato Light" w:cs="Lato Light"/>
          <w:color w:val="000000"/>
          <w:sz w:val="22"/>
        </w:rPr>
        <w:t>Der Auftragnehmer dokumentiert den Vorfall, unterstützt die Bewertung und Meldung nach Art. 33 und 34 DSGVO und trifft angemessene Maßnahmen zur Eindämmung, Wiederherstellung und Vermeidung einer Wiederholung.</w:t>
      </w:r>
    </w:p>
    <w:p>
      <w:pPr>
        <w:pStyle w:val="Heading1"/>
        <w:keepNext/>
      </w:pPr>
      <w:r>
        <w:t>§ 8 Unterauftragnehmer</w:t>
      </w:r>
    </w:p>
    <w:p>
      <w:pPr>
        <w:numPr>
          <w:ilvl w:val="0"/>
          <w:numId w:val="18"/>
        </w:numPr>
        <w:spacing w:after="100" w:line="280" w:lineRule="auto"/>
        <w:ind w:left="720" w:hanging="360"/>
      </w:pPr>
      <w:r>
        <w:rPr>
          <w:rFonts w:ascii="Lato Light" w:hAnsi="Lato Light" w:eastAsia="Lato Light" w:cs="Lato Light"/>
          <w:color w:val="000000"/>
          <w:sz w:val="22"/>
        </w:rPr>
        <w:t>Der Auftraggeber erteilt dem Auftragnehmer die allgemeine Genehmigung, die in Anlage 3 aufgeführten Unterauftragnehmer für die dort beschriebenen, funktionsabhängigen Leistungen einzusetzen. Nicht aktivierte Funktionen führen zu keiner entsprechenden Übermittlung. Die Genehmigung steht unter den in Anlage 3 genannten Einsatzvoraussetzungen.</w:t>
      </w:r>
    </w:p>
    <w:p>
      <w:pPr>
        <w:numPr>
          <w:ilvl w:val="0"/>
          <w:numId w:val="18"/>
        </w:numPr>
        <w:spacing w:after="100" w:line="280" w:lineRule="auto"/>
        <w:ind w:left="720" w:hanging="360"/>
      </w:pPr>
      <w:r>
        <w:rPr>
          <w:rFonts w:ascii="Lato Light" w:hAnsi="Lato Light" w:eastAsia="Lato Light" w:cs="Lato Light"/>
          <w:color w:val="000000"/>
          <w:sz w:val="22"/>
        </w:rPr>
        <w:t>Der Auftragnehmer informiert den Auftraggeber mindestens 30 Kalendertage vor der beabsichtigten Hinzuziehung oder Ersetzung eines Unterauftragnehmers. Der neue oder ersetzende Unterauftragnehmer erhält Auftragsdaten erst nach Ablauf der Mitteilungs- und Widerspruchsfrist und Erfüllung sämtlicher Vertrags-, Transfer- und Sicherheitsvoraussetzungen.</w:t>
      </w:r>
    </w:p>
    <w:p>
      <w:pPr>
        <w:numPr>
          <w:ilvl w:val="0"/>
          <w:numId w:val="18"/>
        </w:numPr>
        <w:spacing w:after="100" w:line="280" w:lineRule="auto"/>
        <w:ind w:left="720" w:hanging="360"/>
      </w:pPr>
      <w:r>
        <w:rPr>
          <w:rFonts w:ascii="Lato Light" w:hAnsi="Lato Light" w:eastAsia="Lato Light" w:cs="Lato Light"/>
          <w:color w:val="000000"/>
          <w:sz w:val="22"/>
        </w:rPr>
        <w:t>Der Auftraggeber kann aus sachlich gerechtfertigten Datenschutzgründen innerhalb von 14 Kalendertagen widersprechen. Die Parteien suchen eine zumutbare Alternative; ist keine möglich, kann der Auftragnehmer die betroffene Funktion einstellen und der Auftraggeber den betroffenen Leistungsteil außerordentlich beenden.</w:t>
      </w:r>
    </w:p>
    <w:p>
      <w:pPr>
        <w:numPr>
          <w:ilvl w:val="0"/>
          <w:numId w:val="18"/>
        </w:numPr>
        <w:spacing w:after="100" w:line="280" w:lineRule="auto"/>
        <w:ind w:left="720" w:hanging="360"/>
      </w:pPr>
      <w:r>
        <w:rPr>
          <w:rFonts w:ascii="Lato Light" w:hAnsi="Lato Light" w:eastAsia="Lato Light" w:cs="Lato Light"/>
          <w:color w:val="000000"/>
          <w:sz w:val="22"/>
        </w:rPr>
        <w:t>Der Auftragnehmer schließt mit jedem Unterauftragnehmer einen Vertrag, der mindestens gleichwertige Datenschutzpflichten nach Art. 28 Abs. 4 DSGVO vorsieht, und bleibt gegenüber dem Auftraggeber für dessen Pflichterfüllung verantwortlich.</w:t>
      </w:r>
    </w:p>
    <w:p>
      <w:pPr>
        <w:numPr>
          <w:ilvl w:val="0"/>
          <w:numId w:val="18"/>
        </w:numPr>
        <w:spacing w:after="100" w:line="280" w:lineRule="auto"/>
        <w:ind w:left="720" w:hanging="360"/>
      </w:pPr>
      <w:r>
        <w:rPr>
          <w:rFonts w:ascii="Lato Light" w:hAnsi="Lato Light" w:eastAsia="Lato Light" w:cs="Lato Light"/>
          <w:color w:val="000000"/>
          <w:sz w:val="22"/>
        </w:rPr>
        <w:t>Fehlt ein erforderlicher Vertrag nach Art. 28 DSGVO, ein notwendiger Drittlandtransfermechanismus, eine dokumentierte Transfer-Risikobewertung oder ein in Anlage 3 verlangter Trainings- beziehungsweise Aufbewahrungsnachweis, ist der betreffende Anbieter für Auftragsdaten nicht freigegeben.</w:t>
      </w:r>
    </w:p>
    <w:p>
      <w:pPr>
        <w:pStyle w:val="Heading1"/>
        <w:keepNext/>
      </w:pPr>
      <w:r>
        <w:t>§ 9 Drittlandübermittlungen</w:t>
      </w:r>
    </w:p>
    <w:p>
      <w:pPr>
        <w:numPr>
          <w:ilvl w:val="0"/>
          <w:numId w:val="19"/>
        </w:numPr>
        <w:spacing w:after="100" w:line="280" w:lineRule="auto"/>
        <w:ind w:left="720" w:hanging="360"/>
      </w:pPr>
      <w:r>
        <w:rPr>
          <w:rFonts w:ascii="Lato Light" w:hAnsi="Lato Light" w:eastAsia="Lato Light" w:cs="Lato Light"/>
          <w:color w:val="000000"/>
          <w:sz w:val="22"/>
        </w:rPr>
        <w:t>Auftragsdaten werden nur auf dokumentierte Weisung und unter Einhaltung der Art. 44 bis 49 DSGVO in ein Drittland oder an eine internationale Organisation übermittelt.</w:t>
      </w:r>
    </w:p>
    <w:p>
      <w:pPr>
        <w:numPr>
          <w:ilvl w:val="0"/>
          <w:numId w:val="19"/>
        </w:numPr>
        <w:spacing w:after="100" w:line="280" w:lineRule="auto"/>
        <w:ind w:left="720" w:hanging="360"/>
      </w:pPr>
      <w:r>
        <w:rPr>
          <w:rFonts w:ascii="Lato Light" w:hAnsi="Lato Light" w:eastAsia="Lato Light" w:cs="Lato Light"/>
          <w:color w:val="000000"/>
          <w:sz w:val="22"/>
        </w:rPr>
        <w:t>Soweit kein Angemessenheitsbeschluss besteht, verwendet der Auftragnehmer regelmäßig die Standardvertragsklauseln der Europäischen Kommission nach Durchführungsbeschluss (EU) 2021/914, bei der Beauftragung eines Unterauftragnehmers grundsätzlich Modul 3 (Processor-to-Processor), ergänzt um eine dokumentierte Transfer-Risikobewertung und erforderliche zusätzliche Maßnahmen.</w:t>
      </w:r>
    </w:p>
    <w:p>
      <w:pPr>
        <w:numPr>
          <w:ilvl w:val="0"/>
          <w:numId w:val="19"/>
        </w:numPr>
        <w:spacing w:after="100" w:line="280" w:lineRule="auto"/>
        <w:ind w:left="720" w:hanging="360"/>
      </w:pPr>
      <w:r>
        <w:rPr>
          <w:rFonts w:ascii="Lato Light" w:hAnsi="Lato Light" w:eastAsia="Lato Light" w:cs="Lato Light"/>
          <w:color w:val="000000"/>
          <w:sz w:val="22"/>
        </w:rPr>
        <w:t>Standort, Transfermechanismus und wesentliche anbieterspezifische Einschränkungen sind in Anlage 3 ausgewiesen. Der Auftraggeber entscheidet durch Modell- oder Funktionswahl, ob eine entsprechend ausgewiesene Drittlandverarbeitung genutzt wird.</w:t>
      </w:r>
    </w:p>
    <w:p>
      <w:pPr>
        <w:pStyle w:val="Heading1"/>
        <w:keepNext/>
      </w:pPr>
      <w:r>
        <w:t>§ 10 Nachweise und Kontrollen</w:t>
      </w:r>
    </w:p>
    <w:p>
      <w:pPr>
        <w:numPr>
          <w:ilvl w:val="0"/>
          <w:numId w:val="20"/>
        </w:numPr>
        <w:spacing w:after="100" w:line="280" w:lineRule="auto"/>
        <w:ind w:left="720" w:hanging="360"/>
      </w:pPr>
      <w:r>
        <w:rPr>
          <w:rFonts w:ascii="Lato Light" w:hAnsi="Lato Light" w:eastAsia="Lato Light" w:cs="Lato Light"/>
          <w:color w:val="000000"/>
          <w:sz w:val="22"/>
        </w:rPr>
        <w:t>Der Auftragnehmer stellt alle Informationen zur Verfügung, die erforderlich sind, um die Einhaltung von Art. 28 DSGVO nachzuweisen. Vorrangig werden aktuelle Zertifikate, Prüfberichte, TOM, Vertragsnachweise und strukturierte Auskünfte verwendet.</w:t>
      </w:r>
    </w:p>
    <w:p>
      <w:pPr>
        <w:numPr>
          <w:ilvl w:val="0"/>
          <w:numId w:val="20"/>
        </w:numPr>
        <w:spacing w:after="100" w:line="280" w:lineRule="auto"/>
        <w:ind w:left="720" w:hanging="360"/>
      </w:pPr>
      <w:r>
        <w:rPr>
          <w:rFonts w:ascii="Lato Light" w:hAnsi="Lato Light" w:eastAsia="Lato Light" w:cs="Lato Light"/>
          <w:color w:val="000000"/>
          <w:sz w:val="22"/>
        </w:rPr>
        <w:t>Der Auftraggeber darf nach angemessener Vorankündigung und grundsätzlich höchstens einmal jährlich Kontrollen selbst oder durch einen zur Vertraulichkeit verpflichteten unabhängigen Prüfer durchführen. Anlassbezogene Kontrollen bei Datenschutzverletzungen oder begründeten Zweifeln bleiben unberührt.</w:t>
      </w:r>
    </w:p>
    <w:p>
      <w:pPr>
        <w:numPr>
          <w:ilvl w:val="0"/>
          <w:numId w:val="20"/>
        </w:numPr>
        <w:spacing w:after="100" w:line="280" w:lineRule="auto"/>
        <w:ind w:left="720" w:hanging="360"/>
      </w:pPr>
      <w:r>
        <w:rPr>
          <w:rFonts w:ascii="Lato Light" w:hAnsi="Lato Light" w:eastAsia="Lato Light" w:cs="Lato Light"/>
          <w:color w:val="000000"/>
          <w:sz w:val="22"/>
        </w:rPr>
        <w:t>Kontrollen sind so durchzuführen, dass Geschäftsgeheimnisse, Sicherheitsinteressen und Rechte anderer Kunden gewahrt bleiben. Sie dürfen den Betrieb nicht unangemessen beeinträchtigen. Kosten trägt der Auftraggeber, sofern kein wesentlicher Verstoß des Auftragnehmers festgestellt wird.</w:t>
      </w:r>
    </w:p>
    <w:p>
      <w:pPr>
        <w:pStyle w:val="Heading1"/>
        <w:keepNext/>
      </w:pPr>
      <w:r>
        <w:t>§ 11 Rückgabe und Löschung</w:t>
      </w:r>
    </w:p>
    <w:p>
      <w:pPr>
        <w:numPr>
          <w:ilvl w:val="0"/>
          <w:numId w:val="21"/>
        </w:numPr>
        <w:spacing w:after="100" w:line="280" w:lineRule="auto"/>
        <w:ind w:left="720" w:hanging="360"/>
      </w:pPr>
      <w:r>
        <w:rPr>
          <w:rFonts w:ascii="Lato Light" w:hAnsi="Lato Light" w:eastAsia="Lato Light" w:cs="Lato Light"/>
          <w:color w:val="000000"/>
          <w:sz w:val="22"/>
        </w:rPr>
        <w:t>Nach Abschluss der Leistungen löscht oder gibt der Auftragnehmer nach Wahl des Auftraggebers alle Auftragsdaten einschließlich vorhandener Kopien zurück, soweit keine gesetzliche Aufbewahrungspflicht entgegensteht. Die Löschparameter ergeben sich aus Anlage 1.</w:t>
      </w:r>
    </w:p>
    <w:p>
      <w:pPr>
        <w:numPr>
          <w:ilvl w:val="0"/>
          <w:numId w:val="21"/>
        </w:numPr>
        <w:spacing w:after="100" w:line="280" w:lineRule="auto"/>
        <w:ind w:left="720" w:hanging="360"/>
      </w:pPr>
      <w:r>
        <w:rPr>
          <w:rFonts w:ascii="Lato Light" w:hAnsi="Lato Light" w:eastAsia="Lato Light" w:cs="Lato Light"/>
          <w:color w:val="000000"/>
          <w:sz w:val="22"/>
        </w:rPr>
        <w:t>Daten in rollierenden Sicherungen werden bis zum Ablauf der dokumentierten Sicherungsfrist gesperrt, nicht für andere Zwecke verwendet und anschließend automatisiert überschrieben beziehungsweise gelöscht.</w:t>
      </w:r>
    </w:p>
    <w:p>
      <w:pPr>
        <w:numPr>
          <w:ilvl w:val="0"/>
          <w:numId w:val="21"/>
        </w:numPr>
        <w:spacing w:after="100" w:line="280" w:lineRule="auto"/>
        <w:ind w:left="720" w:hanging="360"/>
      </w:pPr>
      <w:r>
        <w:rPr>
          <w:rFonts w:ascii="Lato Light" w:hAnsi="Lato Light" w:eastAsia="Lato Light" w:cs="Lato Light"/>
          <w:color w:val="000000"/>
          <w:sz w:val="22"/>
        </w:rPr>
        <w:t>Gesetzlich aufzubewahrende Daten werden gesperrt, ausschließlich für den gesetzlichen Zweck verarbeitet und nach Ablauf der Frist gelöscht.</w:t>
      </w:r>
    </w:p>
    <w:p>
      <w:pPr>
        <w:numPr>
          <w:ilvl w:val="0"/>
          <w:numId w:val="21"/>
        </w:numPr>
        <w:spacing w:after="100" w:line="280" w:lineRule="auto"/>
        <w:ind w:left="720" w:hanging="360"/>
      </w:pPr>
      <w:r>
        <w:rPr>
          <w:rFonts w:ascii="Lato Light" w:hAnsi="Lato Light" w:eastAsia="Lato Light" w:cs="Lato Light"/>
          <w:color w:val="000000"/>
          <w:sz w:val="22"/>
        </w:rPr>
        <w:t>Auf Anfrage bestätigt der Auftragnehmer die vertragsgemäße Löschung in Textform.</w:t>
      </w:r>
    </w:p>
    <w:p>
      <w:pPr>
        <w:pStyle w:val="Heading1"/>
        <w:keepNext/>
      </w:pPr>
      <w:r>
        <w:t>§ 12 Aussetzung und Beendigung</w:t>
      </w:r>
    </w:p>
    <w:p>
      <w:pPr>
        <w:numPr>
          <w:ilvl w:val="0"/>
          <w:numId w:val="22"/>
        </w:numPr>
        <w:spacing w:after="100" w:line="280" w:lineRule="auto"/>
        <w:ind w:left="720" w:hanging="360"/>
      </w:pPr>
      <w:r>
        <w:rPr>
          <w:rFonts w:ascii="Lato Light" w:hAnsi="Lato Light" w:eastAsia="Lato Light" w:cs="Lato Light"/>
          <w:color w:val="000000"/>
          <w:sz w:val="22"/>
        </w:rPr>
        <w:t>Bei einem wesentlichen Verstoß gegen diese Vereinbarung kann der Auftraggeber eine angemessene Frist zur Abhilfe setzen und die betroffene Verarbeitung bis zur Wiederherstellung der Einhaltung aussetzen.</w:t>
      </w:r>
    </w:p>
    <w:p>
      <w:pPr>
        <w:numPr>
          <w:ilvl w:val="0"/>
          <w:numId w:val="22"/>
        </w:numPr>
        <w:spacing w:after="100" w:line="280" w:lineRule="auto"/>
        <w:ind w:left="720" w:hanging="360"/>
      </w:pPr>
      <w:r>
        <w:rPr>
          <w:rFonts w:ascii="Lato Light" w:hAnsi="Lato Light" w:eastAsia="Lato Light" w:cs="Lato Light"/>
          <w:color w:val="000000"/>
          <w:sz w:val="22"/>
        </w:rPr>
        <w:t>Bei wesentlichem oder fortdauerndem Verstoß kann der Auftraggeber den betroffenen Leistungsteil aus wichtigem Grund beenden, soweit eine Fortsetzung unzumutbar ist.</w:t>
      </w:r>
    </w:p>
    <w:p>
      <w:pPr>
        <w:numPr>
          <w:ilvl w:val="0"/>
          <w:numId w:val="22"/>
        </w:numPr>
        <w:spacing w:after="100" w:line="280" w:lineRule="auto"/>
        <w:ind w:left="720" w:hanging="360"/>
      </w:pPr>
      <w:r>
        <w:rPr>
          <w:rFonts w:ascii="Lato Light" w:hAnsi="Lato Light" w:eastAsia="Lato Light" w:cs="Lato Light"/>
          <w:color w:val="000000"/>
          <w:sz w:val="22"/>
        </w:rPr>
        <w:t>Der Auftragnehmer kann eine Verarbeitung aussetzen, wenn eine Weisung offensichtlich rechtswidrig ist oder die Sicherheit von Daten oder Systemen erheblich gefährdet und der Auftraggeber trotz Hinweises keine rechtmäßige Alternative vorgibt.</w:t>
      </w:r>
    </w:p>
    <w:p>
      <w:pPr>
        <w:pStyle w:val="Heading1"/>
        <w:keepNext/>
      </w:pPr>
      <w:r>
        <w:t>§ 13 Haftung</w:t>
      </w:r>
    </w:p>
    <w:p>
      <w:pPr>
        <w:numPr>
          <w:ilvl w:val="0"/>
          <w:numId w:val="23"/>
        </w:numPr>
        <w:spacing w:after="100" w:line="280" w:lineRule="auto"/>
        <w:ind w:left="720" w:hanging="360"/>
      </w:pPr>
      <w:r>
        <w:rPr>
          <w:rFonts w:ascii="Lato Light" w:hAnsi="Lato Light" w:eastAsia="Lato Light" w:cs="Lato Light"/>
          <w:color w:val="000000"/>
          <w:sz w:val="22"/>
        </w:rPr>
        <w:t>Die Haftung der Parteien richtet sich nach Art. 82 DSGVO und den anwendbaren gesetzlichen Vorschriften. Wirksame Haftungsregelungen der Leistungsvereinbarung bleiben im gesetzlich zulässigen Umfang unberührt, dürfen jedoch zwingende Rechte betroffener Personen nicht beschränken.</w:t>
      </w:r>
    </w:p>
    <w:p>
      <w:pPr>
        <w:pStyle w:val="Heading1"/>
        <w:keepNext/>
      </w:pPr>
      <w:r>
        <w:t>§ 14 Schlussbestimmungen</w:t>
      </w:r>
    </w:p>
    <w:p>
      <w:pPr>
        <w:numPr>
          <w:ilvl w:val="0"/>
          <w:numId w:val="24"/>
        </w:numPr>
        <w:spacing w:after="100" w:line="280" w:lineRule="auto"/>
        <w:ind w:left="720" w:hanging="360"/>
      </w:pPr>
      <w:r>
        <w:rPr>
          <w:rFonts w:ascii="Lato Light" w:hAnsi="Lato Light" w:eastAsia="Lato Light" w:cs="Lato Light"/>
          <w:color w:val="000000"/>
          <w:sz w:val="22"/>
        </w:rPr>
        <w:t>Änderungen und Ergänzungen dieser Vereinbarung einschließlich der Anlagen bedürfen der Textform, soweit nicht eine strengere Form vorgeschrieben ist. Der elektronische Abschluss erfüllt Art. 28 Abs. 9 DSGVO.</w:t>
      </w:r>
    </w:p>
    <w:p>
      <w:pPr>
        <w:numPr>
          <w:ilvl w:val="0"/>
          <w:numId w:val="24"/>
        </w:numPr>
        <w:spacing w:after="100" w:line="280" w:lineRule="auto"/>
        <w:ind w:left="720" w:hanging="360"/>
      </w:pPr>
      <w:r>
        <w:rPr>
          <w:rFonts w:ascii="Lato Light" w:hAnsi="Lato Light" w:eastAsia="Lato Light" w:cs="Lato Light"/>
          <w:color w:val="000000"/>
          <w:sz w:val="22"/>
        </w:rPr>
        <w:t>Sollte eine Bestimmung unwirksam sein oder werden, bleibt die Wirksamkeit der übrigen Bestimmungen unberührt. Die Parteien ersetzen sie durch eine wirksame Regelung, die dem datenschutzrechtlichen Zweck möglichst nahekommt.</w:t>
      </w:r>
    </w:p>
    <w:p>
      <w:pPr>
        <w:numPr>
          <w:ilvl w:val="0"/>
          <w:numId w:val="24"/>
        </w:numPr>
        <w:spacing w:after="100" w:line="280" w:lineRule="auto"/>
        <w:ind w:left="720" w:hanging="360"/>
      </w:pPr>
      <w:r>
        <w:rPr>
          <w:rFonts w:ascii="Lato Light" w:hAnsi="Lato Light" w:eastAsia="Lato Light" w:cs="Lato Light"/>
          <w:color w:val="000000"/>
          <w:sz w:val="22"/>
        </w:rPr>
        <w:t>Es gelten Rechtswahl und Gerichtsstand der Leistungsvereinbarung, soweit zwingendes Datenschutzrecht nicht entgegensteht.</w:t>
      </w:r>
    </w:p>
    <w:p>
      <w:pPr>
        <w:pStyle w:val="Heading1"/>
        <w:keepNext/>
      </w:pPr>
      <w:r>
        <w:t>Elektronischer Vertragsschluss</w:t>
      </w:r>
    </w:p>
    <w:tbl>
      <w:tblPr>
        <w:tblW w:type="dxa" w:w="9360"/>
        <w:tblLayout w:type="fixed"/>
        <w:tblLook w:firstColumn="1" w:firstRow="1" w:lastColumn="0" w:lastRow="0" w:noHBand="0" w:noVBand="1" w:val="04A0"/>
        <w:jc w:val="left"/>
        <w:tblInd w:w="120"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3300"/>
        <w:gridCol w:w="6060"/>
      </w:tblGrid>
      <w:tr>
        <w:trPr>
          <w:tblHeader w:val="true"/>
        </w:trPr>
        <w:tc>
          <w:tcPr>
            <w:tcW w:type="dxa" w:w="3300"/>
            <w:tcMar>
              <w:top w:w="90" w:type="dxa"/>
              <w:start w:w="120" w:type="dxa"/>
              <w:bottom w:w="90" w:type="dxa"/>
              <w:end w:w="120" w:type="dxa"/>
            </w:tcMar>
            <w:vAlign w:val="center"/>
            <w:shd w:fill="F2F2F2"/>
          </w:tcPr>
          <w:p>
            <w:pPr>
              <w:spacing w:before="0" w:after="0" w:line="259" w:lineRule="auto"/>
              <w:jc w:val="left"/>
            </w:pPr>
            <w:r>
              <w:rPr>
                <w:rFonts w:ascii="Lato Light" w:hAnsi="Lato Light" w:eastAsia="Lato Light" w:cs="Lato Light"/>
                <w:b/>
                <w:color w:val="000000"/>
                <w:sz w:val="22"/>
              </w:rPr>
              <w:t>Partei</w:t>
            </w:r>
          </w:p>
        </w:tc>
        <w:tc>
          <w:tcPr>
            <w:tcW w:type="dxa" w:w="6060"/>
            <w:tcMar>
              <w:top w:w="90" w:type="dxa"/>
              <w:start w:w="120" w:type="dxa"/>
              <w:bottom w:w="90" w:type="dxa"/>
              <w:end w:w="120" w:type="dxa"/>
            </w:tcMar>
            <w:vAlign w:val="center"/>
            <w:shd w:fill="F2F2F2"/>
          </w:tcPr>
          <w:p>
            <w:pPr>
              <w:spacing w:before="0" w:after="0" w:line="259" w:lineRule="auto"/>
              <w:jc w:val="left"/>
            </w:pPr>
            <w:r>
              <w:rPr>
                <w:rFonts w:ascii="Lato Light" w:hAnsi="Lato Light" w:eastAsia="Lato Light" w:cs="Lato Light"/>
                <w:b/>
                <w:color w:val="000000"/>
                <w:sz w:val="22"/>
              </w:rPr>
              <w:t>Nachweis</w:t>
            </w:r>
          </w:p>
        </w:tc>
      </w:tr>
      <w:tr>
        <w:tc>
          <w:tcPr>
            <w:tcW w:type="dxa" w:w="33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Auftraggeber</w:t>
            </w:r>
          </w:p>
        </w:tc>
        <w:tc>
          <w:tcPr>
            <w:tcW w:type="dxa" w:w="60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Einbeziehung dieser Version in die Leistungsvereinbarung oder elektronische Annahme durch einen vertretungsberechtigten beziehungsweise administrativen Kundenkontakt. Kundenkonto, Vertragsreferenz und Zeitpunkt bilden den Zuordnungsnachweis.</w:t>
            </w:r>
          </w:p>
        </w:tc>
      </w:tr>
      <w:tr>
        <w:tc>
          <w:tcPr>
            <w:tcW w:type="dxa" w:w="33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Auftragnehmer</w:t>
            </w:r>
          </w:p>
        </w:tc>
        <w:tc>
          <w:tcPr>
            <w:tcW w:type="dxa" w:w="60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Franco Consulting GmbH / Vantero; Bereitstellung der Version 1.2 vom 4. September 2026 und Annahme des zugehörigen Kundenauftrags.</w:t>
            </w:r>
          </w:p>
        </w:tc>
      </w:tr>
    </w:tbl>
    <w:p>
      <w:r>
        <w:br w:type="page"/>
      </w:r>
    </w:p>
    <w:p>
      <w:pPr>
        <w:pStyle w:val="Heading1"/>
        <w:keepNext/>
      </w:pPr>
      <w:r>
        <w:t>Anlage 1 – Beschreibung der Verarbeitung</w:t>
      </w:r>
    </w:p>
    <w:tbl>
      <w:tblPr>
        <w:tblW w:type="dxa" w:w="9360"/>
        <w:tblLayout w:type="fixed"/>
        <w:tblLook w:firstColumn="1" w:firstRow="1" w:lastColumn="0" w:lastRow="0" w:noHBand="0" w:noVBand="1" w:val="04A0"/>
        <w:jc w:val="left"/>
        <w:tblInd w:w="120"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2300"/>
        <w:gridCol w:w="7060"/>
      </w:tblGrid>
      <w:tr>
        <w:trPr>
          <w:tblHeader w:val="true"/>
        </w:trPr>
        <w:tc>
          <w:tcPr>
            <w:tcW w:type="dxa" w:w="2300"/>
            <w:tcMar>
              <w:top w:w="90" w:type="dxa"/>
              <w:start w:w="120" w:type="dxa"/>
              <w:bottom w:w="90" w:type="dxa"/>
              <w:end w:w="120" w:type="dxa"/>
            </w:tcMar>
            <w:vAlign w:val="center"/>
            <w:shd w:fill="FFFFFF"/>
          </w:tcPr>
          <w:p>
            <w:pPr>
              <w:spacing w:before="0" w:after="0" w:line="259" w:lineRule="auto"/>
              <w:jc w:val="left"/>
            </w:pPr>
            <w:r>
              <w:rPr>
                <w:rFonts w:ascii="Lato Light" w:hAnsi="Lato Light" w:eastAsia="Lato Light" w:cs="Lato Light"/>
                <w:b/>
                <w:color w:val="000000"/>
                <w:sz w:val="22"/>
              </w:rPr>
              <w:t>Merkmal</w:t>
            </w:r>
          </w:p>
        </w:tc>
        <w:tc>
          <w:tcPr>
            <w:tcW w:type="dxa" w:w="7060"/>
            <w:tcMar>
              <w:top w:w="90" w:type="dxa"/>
              <w:start w:w="120" w:type="dxa"/>
              <w:bottom w:w="90" w:type="dxa"/>
              <w:end w:w="120" w:type="dxa"/>
            </w:tcMar>
            <w:vAlign w:val="center"/>
            <w:shd w:fill="FFFFFF"/>
          </w:tcPr>
          <w:p>
            <w:pPr>
              <w:spacing w:before="0" w:after="0" w:line="259" w:lineRule="auto"/>
              <w:jc w:val="left"/>
            </w:pPr>
            <w:r>
              <w:rPr>
                <w:rFonts w:ascii="Lato Light" w:hAnsi="Lato Light" w:eastAsia="Lato Light" w:cs="Lato Light"/>
                <w:b/>
                <w:color w:val="000000"/>
                <w:sz w:val="22"/>
              </w:rPr>
              <w:t>Beschreibung</w:t>
            </w:r>
          </w:p>
        </w:tc>
      </w:tr>
      <w:tr>
        <w:tc>
          <w:tcPr>
            <w:tcW w:type="dxa" w:w="23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Gegenstand</w:t>
            </w:r>
          </w:p>
        </w:tc>
        <w:tc>
          <w:tcPr>
            <w:tcW w:type="dxa" w:w="70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Bereitstellung und Betrieb des Vantero Cloud Service einschließlich Web-App, Mobil-App, Plattform-API, Chat, Datei- und Wissensverarbeitung, KI-Inferenz, Assistenten, Dokument-, Präsentations- und Tabellenfunktionen sowie optionaler Integrationen.</w:t>
            </w:r>
          </w:p>
        </w:tc>
      </w:tr>
      <w:tr>
        <w:tc>
          <w:tcPr>
            <w:tcW w:type="dxa" w:w="23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Dauer</w:t>
            </w:r>
          </w:p>
        </w:tc>
        <w:tc>
          <w:tcPr>
            <w:tcW w:type="dxa" w:w="70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Dauer der Leistungsvereinbarung zuzüglich Rückgabe-, Lösch-, Nachweis- und gesetzlicher Aufbewahrungsfristen gemäß § 11.</w:t>
            </w:r>
          </w:p>
        </w:tc>
      </w:tr>
      <w:tr>
        <w:tc>
          <w:tcPr>
            <w:tcW w:type="dxa" w:w="23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Art der Verarbeitung</w:t>
            </w:r>
          </w:p>
        </w:tc>
        <w:tc>
          <w:tcPr>
            <w:tcW w:type="dxa" w:w="70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Erheben, Erfassen, Ordnen, Speichern, Auslesen, Abfragen, Verwenden, Abgleichen, Verknüpfen, Übermitteln an genehmigte Unterauftragnehmer, Generieren, Analysieren, Strukturieren, Protokollieren, Einschränken, Exportieren und Löschen.</w:t>
            </w:r>
          </w:p>
        </w:tc>
      </w:tr>
      <w:tr>
        <w:tc>
          <w:tcPr>
            <w:tcW w:type="dxa" w:w="23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Zwecke</w:t>
            </w:r>
          </w:p>
        </w:tc>
        <w:tc>
          <w:tcPr>
            <w:tcW w:type="dxa" w:w="70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Nutzer- und Zugangsverwaltung; Team- und Workspace-Zusammenarbeit; Verarbeitung von Prompts, Chats und Dateien; KI-Antworten; Bild-, Dokument-, Präsentations- und Tabellenerstellung; RAG/OCR; optionale Webrecherche und Konnektoren; Support, Sicherheit, Missbrauchsprävention sowie Nutzungs- und Abrechnungszuordnung.</w:t>
            </w:r>
          </w:p>
        </w:tc>
      </w:tr>
      <w:tr>
        <w:tc>
          <w:tcPr>
            <w:tcW w:type="dxa" w:w="23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Persistente Plattformdaten</w:t>
            </w:r>
          </w:p>
        </w:tc>
        <w:tc>
          <w:tcPr>
            <w:tcW w:type="dxa" w:w="70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Selbst betriebene PostgreSQL-/Supabase-, Objektspeicher- und Redis-Komponenten auf IONOS-Cloud-Infrastruktur im virtuellen Rechenzentrum de/fra (Frankfurt am Main, Deutschland). Es wird kein Managed-Supabase-Dienst eingesetzt.</w:t>
            </w:r>
          </w:p>
        </w:tc>
      </w:tr>
      <w:tr>
        <w:tc>
          <w:tcPr>
            <w:tcW w:type="dxa" w:w="23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KI- und Suchverarbeitung</w:t>
            </w:r>
          </w:p>
        </w:tc>
        <w:tc>
          <w:tcPr>
            <w:tcW w:type="dxa" w:w="70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Je nach gewähltem Modell oder Tool Deutschland, EU/EWR oder Drittland. Der aktive technische Standort und der Transfermechanismus sind in Anlage 3 beschrieben.</w:t>
            </w:r>
          </w:p>
        </w:tc>
      </w:tr>
      <w:tr>
        <w:tc>
          <w:tcPr>
            <w:tcW w:type="dxa" w:w="23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Weisungswege</w:t>
            </w:r>
          </w:p>
        </w:tc>
        <w:tc>
          <w:tcPr>
            <w:tcW w:type="dxa" w:w="70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Leistungsvereinbarung, Workspace- und Admin-Konfiguration, Modell- und Datenzonenauswahl, API-Konfiguration sowie Weisungen in Textform an die Kontakte in Anlage 4.</w:t>
            </w:r>
          </w:p>
        </w:tc>
      </w:tr>
    </w:tbl>
    <w:p>
      <w:pPr>
        <w:pStyle w:val="Heading2"/>
        <w:keepNext/>
      </w:pPr>
      <w:r>
        <w:t>1. Kategorien personenbezogener Daten</w:t>
      </w:r>
    </w:p>
    <w:p>
      <w:pPr>
        <w:numPr>
          <w:ilvl w:val="0"/>
          <w:numId w:val="10"/>
        </w:numPr>
        <w:spacing w:after="100" w:line="280" w:lineRule="auto"/>
        <w:ind w:left="720" w:hanging="360"/>
      </w:pPr>
      <w:r>
        <w:rPr>
          <w:rFonts w:ascii="Lato Light" w:hAnsi="Lato Light" w:eastAsia="Lato Light" w:cs="Lato Light"/>
          <w:color w:val="000000"/>
          <w:sz w:val="22"/>
        </w:rPr>
        <w:t>Stamm- und Kontaktdaten: Name, E-Mail-Adresse, Profilbild, Sprache, Unternehmen, Team- und Workspace-Zugehörigkeit.</w:t>
      </w:r>
    </w:p>
    <w:p>
      <w:pPr>
        <w:numPr>
          <w:ilvl w:val="0"/>
          <w:numId w:val="10"/>
        </w:numPr>
        <w:spacing w:after="100" w:line="280" w:lineRule="auto"/>
        <w:ind w:left="720" w:hanging="360"/>
      </w:pPr>
      <w:r>
        <w:rPr>
          <w:rFonts w:ascii="Lato Light" w:hAnsi="Lato Light" w:eastAsia="Lato Light" w:cs="Lato Light"/>
          <w:color w:val="000000"/>
          <w:sz w:val="22"/>
        </w:rPr>
        <w:t>Authentifizierungs- und Sicherheitsdaten: Passwort-Hash, Sitzungs- und Verifizierungsdaten, IP-Adresse, User-Agent, Login- und Sicherheitsereignisse sowie OAuth- oder Passkey-Metadaten, soweit genutzt.</w:t>
      </w:r>
    </w:p>
    <w:p>
      <w:pPr>
        <w:numPr>
          <w:ilvl w:val="0"/>
          <w:numId w:val="10"/>
        </w:numPr>
        <w:spacing w:after="100" w:line="280" w:lineRule="auto"/>
        <w:ind w:left="720" w:hanging="360"/>
      </w:pPr>
      <w:r>
        <w:rPr>
          <w:rFonts w:ascii="Lato Light" w:hAnsi="Lato Light" w:eastAsia="Lato Light" w:cs="Lato Light"/>
          <w:color w:val="000000"/>
          <w:sz w:val="22"/>
        </w:rPr>
        <w:t>Kundeninhalte: Prompts, Chatnachrichten, hochgeladene Dateien und Dokumente, Wissensinhalte, E-Mails und Anhänge aus aktivierten Integrationen, Präsentationen, Tabellen, Bilder, Assistenten, Projekte und sonstige erzeugte Artefakte.</w:t>
      </w:r>
    </w:p>
    <w:p>
      <w:pPr>
        <w:numPr>
          <w:ilvl w:val="0"/>
          <w:numId w:val="10"/>
        </w:numPr>
        <w:spacing w:after="100" w:line="280" w:lineRule="auto"/>
        <w:ind w:left="720" w:hanging="360"/>
      </w:pPr>
      <w:r>
        <w:rPr>
          <w:rFonts w:ascii="Lato Light" w:hAnsi="Lato Light" w:eastAsia="Lato Light" w:cs="Lato Light"/>
          <w:color w:val="000000"/>
          <w:sz w:val="22"/>
        </w:rPr>
        <w:t>Nutzungs-, Diagnose- und Metadaten: Zeitpunkte, Modell- und Datenzonenauswahl, Tokenverbrauch, Funktionsnutzung, Fehlerberichte, Audit-, Compliance- und Protokolldaten.</w:t>
      </w:r>
    </w:p>
    <w:p>
      <w:pPr>
        <w:numPr>
          <w:ilvl w:val="0"/>
          <w:numId w:val="10"/>
        </w:numPr>
        <w:spacing w:after="100" w:line="280" w:lineRule="auto"/>
        <w:ind w:left="720" w:hanging="360"/>
      </w:pPr>
      <w:r>
        <w:rPr>
          <w:rFonts w:ascii="Lato Light" w:hAnsi="Lato Light" w:eastAsia="Lato Light" w:cs="Lato Light"/>
          <w:color w:val="000000"/>
          <w:sz w:val="22"/>
        </w:rPr>
        <w:t>Integrationsdaten: Verbindungsmetadaten sowie verschlüsselte Zugriffs- und Aktualisierungstoken für vom Auftraggeber aktivierte Dienste.</w:t>
      </w:r>
    </w:p>
    <w:p>
      <w:pPr>
        <w:numPr>
          <w:ilvl w:val="0"/>
          <w:numId w:val="10"/>
        </w:numPr>
        <w:spacing w:after="100" w:line="280" w:lineRule="auto"/>
        <w:ind w:left="720" w:hanging="360"/>
      </w:pPr>
      <w:r>
        <w:rPr>
          <w:rFonts w:ascii="Lato Light" w:hAnsi="Lato Light" w:eastAsia="Lato Light" w:cs="Lato Light"/>
          <w:color w:val="000000"/>
          <w:sz w:val="22"/>
        </w:rPr>
        <w:t>Abrechnungsreferenzen: Tarif-, Bestell-, Kunden-, Abonnement- und Statusreferenzen; vollständige Karten- oder Bankdaten werden nicht durch Vantero verarbeitet.</w:t>
      </w:r>
    </w:p>
    <w:p>
      <w:pPr>
        <w:numPr>
          <w:ilvl w:val="0"/>
          <w:numId w:val="10"/>
        </w:numPr>
        <w:spacing w:after="100" w:line="280" w:lineRule="auto"/>
        <w:ind w:left="720" w:hanging="360"/>
      </w:pPr>
      <w:r>
        <w:rPr>
          <w:rFonts w:ascii="Lato Light" w:hAnsi="Lato Light" w:eastAsia="Lato Light" w:cs="Lato Light"/>
          <w:color w:val="000000"/>
          <w:sz w:val="22"/>
        </w:rPr>
        <w:t>Weitere personenbezogene Daten, die Nutzer im Rahmen der vertragsgemäßen Funktionen eingeben, hochladen oder aus verbundenen Systemen abrufen.</w:t>
      </w:r>
    </w:p>
    <w:p>
      <w:pPr>
        <w:pStyle w:val="Heading2"/>
        <w:keepNext/>
      </w:pPr>
      <w:r>
        <w:t>2. Kategorien betroffener Personen</w:t>
      </w:r>
    </w:p>
    <w:p>
      <w:pPr>
        <w:numPr>
          <w:ilvl w:val="0"/>
          <w:numId w:val="10"/>
        </w:numPr>
        <w:spacing w:after="100" w:line="280" w:lineRule="auto"/>
        <w:ind w:left="720" w:hanging="360"/>
      </w:pPr>
      <w:r>
        <w:rPr>
          <w:rFonts w:ascii="Lato Light" w:hAnsi="Lato Light" w:eastAsia="Lato Light" w:cs="Lato Light"/>
          <w:color w:val="000000"/>
          <w:sz w:val="22"/>
        </w:rPr>
        <w:t>Nutzer, Beschäftigte, Organmitglieder, freie Mitarbeitende und sonstige berechtigte Personen des Auftraggebers.</w:t>
      </w:r>
    </w:p>
    <w:p>
      <w:pPr>
        <w:numPr>
          <w:ilvl w:val="0"/>
          <w:numId w:val="10"/>
        </w:numPr>
        <w:spacing w:after="100" w:line="280" w:lineRule="auto"/>
        <w:ind w:left="720" w:hanging="360"/>
      </w:pPr>
      <w:r>
        <w:rPr>
          <w:rFonts w:ascii="Lato Light" w:hAnsi="Lato Light" w:eastAsia="Lato Light" w:cs="Lato Light"/>
          <w:color w:val="000000"/>
          <w:sz w:val="22"/>
        </w:rPr>
        <w:t>Kunden, Interessenten, Lieferanten, Geschäftspartner und sonstige Kontakte des Auftraggebers.</w:t>
      </w:r>
    </w:p>
    <w:p>
      <w:pPr>
        <w:numPr>
          <w:ilvl w:val="0"/>
          <w:numId w:val="10"/>
        </w:numPr>
        <w:spacing w:after="100" w:line="280" w:lineRule="auto"/>
        <w:ind w:left="720" w:hanging="360"/>
      </w:pPr>
      <w:r>
        <w:rPr>
          <w:rFonts w:ascii="Lato Light" w:hAnsi="Lato Light" w:eastAsia="Lato Light" w:cs="Lato Light"/>
          <w:color w:val="000000"/>
          <w:sz w:val="22"/>
        </w:rPr>
        <w:t>Personen, deren Daten in Kundeninhalten, Dateien, E-Mails, verbundenen Drittsystemen oder Rechercheergebnissen enthalten sind.</w:t>
      </w:r>
    </w:p>
    <w:p>
      <w:pPr>
        <w:numPr>
          <w:ilvl w:val="0"/>
          <w:numId w:val="10"/>
        </w:numPr>
        <w:spacing w:after="100" w:line="280" w:lineRule="auto"/>
        <w:ind w:left="720" w:hanging="360"/>
      </w:pPr>
      <w:r>
        <w:rPr>
          <w:rFonts w:ascii="Lato Light" w:hAnsi="Lato Light" w:eastAsia="Lato Light" w:cs="Lato Light"/>
          <w:color w:val="000000"/>
          <w:sz w:val="22"/>
        </w:rPr>
        <w:t>Nutzer der Plattform-API oder von Anwendungen, die der Auftraggeber über die API anbindet.</w:t>
      </w:r>
    </w:p>
    <w:p>
      <w:pPr>
        <w:pStyle w:val="Heading2"/>
        <w:keepNext/>
      </w:pPr>
      <w:r>
        <w:t>3. Besondere Datenkategorien und hoher Schutzbedarf</w:t>
      </w:r>
    </w:p>
    <w:p>
      <w:pPr>
        <w:spacing w:before="0" w:after="120" w:line="264" w:lineRule="auto"/>
      </w:pPr>
      <w:r>
        <w:rPr>
          <w:rFonts w:ascii="Lato Light" w:hAnsi="Lato Light" w:eastAsia="Lato Light" w:cs="Lato Light"/>
          <w:b w:val="0"/>
          <w:i w:val="0"/>
          <w:color w:val="000000"/>
          <w:sz w:val="22"/>
        </w:rPr>
        <w:t>Vantero ist nicht für die systematische oder umfangreiche Verarbeitung besonderer Kategorien personenbezogener Daten nach Art. 9 DSGVO oder von Daten über strafrechtliche Verurteilungen nach Art. 10 DSGVO als Standardzweck ausgelegt. Eine nur beiläufige Verarbeitung ist zulässig, wenn der Auftraggeber eine Rechtsgrundlage, Erforderlichkeit und ein geeignetes Schutzprofil sicherstellt. Systematische oder umfangreiche Verarbeitung bedarf einer gesonderten Vereinbarung in Textform und gegebenenfalls zusätzlicher TOM.</w:t>
      </w:r>
    </w:p>
    <w:p>
      <w:pPr>
        <w:pStyle w:val="Heading2"/>
        <w:keepNext/>
      </w:pPr>
      <w:r>
        <w:t>4. Lösch- und Aufbewahrungsparameter</w:t>
      </w:r>
    </w:p>
    <w:tbl>
      <w:tblPr>
        <w:tblW w:type="dxa" w:w="9360"/>
        <w:tblLayout w:type="fixed"/>
        <w:tblLook w:firstColumn="1" w:firstRow="1" w:lastColumn="0" w:lastRow="0" w:noHBand="0" w:noVBand="1" w:val="04A0"/>
        <w:jc w:val="left"/>
        <w:tblInd w:w="120"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2500"/>
        <w:gridCol w:w="6860"/>
      </w:tblGrid>
      <w:tr>
        <w:trPr>
          <w:tblHeader w:val="true"/>
        </w:trPr>
        <w:tc>
          <w:tcPr>
            <w:tcW w:type="dxa" w:w="2500"/>
            <w:tcMar>
              <w:top w:w="90" w:type="dxa"/>
              <w:start w:w="120" w:type="dxa"/>
              <w:bottom w:w="90" w:type="dxa"/>
              <w:end w:w="120" w:type="dxa"/>
            </w:tcMar>
            <w:vAlign w:val="center"/>
            <w:shd w:fill="F2F2F2"/>
          </w:tcPr>
          <w:p>
            <w:pPr>
              <w:spacing w:before="0" w:after="0" w:line="259" w:lineRule="auto"/>
              <w:jc w:val="left"/>
            </w:pPr>
            <w:r>
              <w:rPr>
                <w:rFonts w:ascii="Lato Light" w:hAnsi="Lato Light" w:eastAsia="Lato Light" w:cs="Lato Light"/>
                <w:b/>
                <w:color w:val="000000"/>
                <w:sz w:val="22"/>
              </w:rPr>
              <w:t>Datenbereich</w:t>
            </w:r>
          </w:p>
        </w:tc>
        <w:tc>
          <w:tcPr>
            <w:tcW w:type="dxa" w:w="6860"/>
            <w:tcMar>
              <w:top w:w="90" w:type="dxa"/>
              <w:start w:w="120" w:type="dxa"/>
              <w:bottom w:w="90" w:type="dxa"/>
              <w:end w:w="120" w:type="dxa"/>
            </w:tcMar>
            <w:vAlign w:val="center"/>
            <w:shd w:fill="F2F2F2"/>
          </w:tcPr>
          <w:p>
            <w:pPr>
              <w:spacing w:before="0" w:after="0" w:line="259" w:lineRule="auto"/>
              <w:jc w:val="left"/>
            </w:pPr>
            <w:r>
              <w:rPr>
                <w:rFonts w:ascii="Lato Light" w:hAnsi="Lato Light" w:eastAsia="Lato Light" w:cs="Lato Light"/>
                <w:b/>
                <w:color w:val="000000"/>
                <w:sz w:val="22"/>
              </w:rPr>
              <w:t>Regel</w:t>
            </w:r>
          </w:p>
        </w:tc>
      </w:tr>
      <w:tr>
        <w:tc>
          <w:tcPr>
            <w:tcW w:type="dxa" w:w="25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Konten, Workspaces, Chats, Dateien</w:t>
            </w:r>
          </w:p>
        </w:tc>
        <w:tc>
          <w:tcPr>
            <w:tcW w:type="dxa" w:w="68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Bis zur nutzer- oder administrativ ausgelösten Löschung beziehungsweise bis zum Vertragsende; anschließend Löschung oder Anonymisierung nach § 11 und dem dokumentierten Löschverfahren.</w:t>
            </w:r>
          </w:p>
        </w:tc>
      </w:tr>
      <w:tr>
        <w:tc>
          <w:tcPr>
            <w:tcW w:type="dxa" w:w="25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Sitzungen</w:t>
            </w:r>
          </w:p>
        </w:tc>
        <w:tc>
          <w:tcPr>
            <w:tcW w:type="dxa" w:w="68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Bis zu 7 Tage; der Sitzungsstatus wird bei aktiver Nutzung höchstens täglich aktualisiert.</w:t>
            </w:r>
          </w:p>
        </w:tc>
      </w:tr>
      <w:tr>
        <w:tc>
          <w:tcPr>
            <w:tcW w:type="dxa" w:w="25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Zentrale Betriebsprotokolle</w:t>
            </w:r>
          </w:p>
        </w:tc>
        <w:tc>
          <w:tcPr>
            <w:tcW w:type="dxa" w:w="68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Betriebs-, Fehler- und Sicherheitsprotokolle werden zugriffsbeschränkt und nach Zweck sowie der dokumentierten Systemkonfiguration rotiert oder gelöscht. Erforderliche Vorfallauszüge können bis zum Abschluss der Untersuchung gesperrt aufbewahrt werden.</w:t>
            </w:r>
          </w:p>
        </w:tc>
      </w:tr>
      <w:tr>
        <w:tc>
          <w:tcPr>
            <w:tcW w:type="dxa" w:w="25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KI- und Suchanbieter</w:t>
            </w:r>
          </w:p>
        </w:tc>
        <w:tc>
          <w:tcPr>
            <w:tcW w:type="dxa" w:w="68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Anbieterspezifisch gemäß Anlage 3. Zero Data Retention gilt nur, wenn dort ausdrücklich ausgewiesen; ansonsten gelten die dokumentierten Sicherheits- und Missbrauchsfristen des Anbieters.</w:t>
            </w:r>
          </w:p>
        </w:tc>
      </w:tr>
      <w:tr>
        <w:tc>
          <w:tcPr>
            <w:tcW w:type="dxa" w:w="25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Sicherungen und historische Snapshots</w:t>
            </w:r>
          </w:p>
        </w:tc>
        <w:tc>
          <w:tcPr>
            <w:tcW w:type="dxa" w:w="68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Der operative Produktionslauf erstellt vollständige Datenbank- und Objektspeichersicherungen alle 6 Stunden und hält 28 rollierende Generationen, entsprechend 7 Tagen. Historische Legacy-, Migrations- und Sicherheitssnapshots liegen getrennt und zugriffsbeschränkt; sie werden nicht für den laufenden Betrieb verwendet, regelmäßig auf Erforderlichkeit geprüft und nach dokumentiertem Zweckfortfall gelöscht. Gesetzliche oder nachweisbar erforderliche Ausnahmen werden gesperrt und einzeln dokumentiert.</w:t>
            </w:r>
          </w:p>
        </w:tc>
      </w:tr>
      <w:tr>
        <w:tc>
          <w:tcPr>
            <w:tcW w:type="dxa" w:w="25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Gesetzliche Nachweise</w:t>
            </w:r>
          </w:p>
        </w:tc>
        <w:tc>
          <w:tcPr>
            <w:tcW w:type="dxa" w:w="68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Nur soweit gesetzlich erforderlich; gesperrt, zweckbeschränkt und nach Ablauf der jeweiligen Frist gelöscht.</w:t>
            </w:r>
          </w:p>
        </w:tc>
      </w:tr>
    </w:tbl>
    <w:p>
      <w:r>
        <w:br w:type="page"/>
      </w:r>
    </w:p>
    <w:p>
      <w:pPr>
        <w:pStyle w:val="Heading1"/>
        <w:keepNext/>
      </w:pPr>
      <w:r>
        <w:t>Anlage 2 – Technische und organisatorische Maßnahmen</w:t>
      </w:r>
    </w:p>
    <w:p>
      <w:pPr>
        <w:keepLines/>
        <w:spacing w:before="120" w:after="200" w:line="264" w:lineRule="auto"/>
        <w:ind w:left="115" w:right="115"/>
        <w:shd w:fill="FFFFFF"/>
        <w:pBdr>
          <w:top w:val="single" w:sz="8" w:space="7" w:color="BFBFBF"/>
          <w:left w:val="single" w:sz="8" w:space="7" w:color="BFBFBF"/>
          <w:bottom w:val="single" w:sz="8" w:space="7" w:color="BFBFBF"/>
          <w:right w:val="single" w:sz="8" w:space="7" w:color="BFBFBF"/>
        </w:pBdr>
      </w:pPr>
      <w:r>
        <w:rPr>
          <w:rFonts w:ascii="Lato Light" w:hAnsi="Lato Light" w:eastAsia="Lato Light" w:cs="Lato Light"/>
          <w:b/>
          <w:color w:val="000000"/>
          <w:sz w:val="24"/>
        </w:rPr>
        <w:t>Architekturstand</w:t>
        <w:br/>
      </w:r>
      <w:r>
        <w:rPr>
          <w:rFonts w:ascii="Lato Light" w:hAnsi="Lato Light" w:eastAsia="Lato Light" w:cs="Lato Light"/>
          <w:color w:val="000000"/>
          <w:sz w:val="22"/>
        </w:rPr>
        <w:t>Die persistenten Produktivdaten werden auf einer IONOS-Cloud-VM im virtuellen Rechenzentrum de/fra betrieben. Datenbank, Objektspeicher, Redis, Dokument- und Tabellenverarbeitung sowie Monitoring sind selbst gehostet. Die Auswahl externer KI-, Such- und Integrationsdienste erfolgt funktions- beziehungsweise modellabhängig.</w:t>
      </w:r>
    </w:p>
    <w:p>
      <w:pPr>
        <w:pStyle w:val="Heading2"/>
        <w:keepNext/>
      </w:pPr>
      <w:r>
        <w:t>1. Organisation und Vertraulichkeit</w:t>
      </w:r>
    </w:p>
    <w:p>
      <w:pPr>
        <w:spacing w:before="0" w:after="120" w:line="264" w:lineRule="auto"/>
      </w:pPr>
      <w:r>
        <w:rPr>
          <w:rFonts w:ascii="Lato Light" w:hAnsi="Lato Light" w:eastAsia="Lato Light" w:cs="Lato Light"/>
          <w:b w:val="0"/>
          <w:i w:val="0"/>
          <w:color w:val="000000"/>
          <w:sz w:val="22"/>
        </w:rPr>
        <w:t>Datenschutz- und Informationssicherheitsverantwortung sind der Geschäftsführung zugeordnet. Zugriffsberechtigte Personen werden auf Vertraulichkeit verpflichtet und erhalten Zugriff nur nach Aufgabenbezug und Need-to-know. Sicherheits- und Datenschutzanforderungen werden bei Entwicklung, Betrieb und Lieferantenauswahl berücksichtigt.</w:t>
      </w:r>
    </w:p>
    <w:p>
      <w:pPr>
        <w:pStyle w:val="Heading2"/>
        <w:keepNext/>
      </w:pPr>
      <w:r>
        <w:t>2. Physischer Schutz</w:t>
      </w:r>
    </w:p>
    <w:p>
      <w:pPr>
        <w:spacing w:before="0" w:after="120" w:line="264" w:lineRule="auto"/>
      </w:pPr>
      <w:r>
        <w:rPr>
          <w:rFonts w:ascii="Lato Light" w:hAnsi="Lato Light" w:eastAsia="Lato Light" w:cs="Lato Light"/>
          <w:b w:val="0"/>
          <w:i w:val="0"/>
          <w:color w:val="000000"/>
          <w:sz w:val="22"/>
        </w:rPr>
        <w:t>Produktivsysteme laufen im IONOS-Cloud-Rechenzentrum Frankfurt. IONOS betreibt physische Zutrittskontrollen, 24/7-Überwachung und zertifizierte Sicherheitsprozesse. Die IONOS-Cloud-Infrastruktur und die einschlägigen Rechenzentrumsleistungen sind nach ISO/IEC 27001 zertifiziert; produktbezogene BSI-C5-Nachweise werden anbieterseitig geführt.</w:t>
      </w:r>
    </w:p>
    <w:p>
      <w:pPr>
        <w:pStyle w:val="Heading2"/>
        <w:keepNext/>
      </w:pPr>
      <w:r>
        <w:t>3. Netzwerk- und Systemzugang</w:t>
      </w:r>
    </w:p>
    <w:p>
      <w:pPr>
        <w:spacing w:before="0" w:after="120" w:line="264" w:lineRule="auto"/>
      </w:pPr>
      <w:r>
        <w:rPr>
          <w:rFonts w:ascii="Lato Light" w:hAnsi="Lato Light" w:eastAsia="Lato Light" w:cs="Lato Light"/>
          <w:b w:val="0"/>
          <w:i w:val="0"/>
          <w:color w:val="000000"/>
          <w:sz w:val="22"/>
        </w:rPr>
        <w:t>Die Host-Firewall verwirft eingehende Verbindungen grundsätzlich; öffentlich freigegeben sind nur SSH sowie HTTP/HTTPS (Ports 22, 80 und 443). Datenbank-, Speicher-, Redis- und Worker-Dienste sind intern angebunden. Administrativer Serverzugriff erfolgt schlüsselbasiert und ist auf befugte Administratoren beschränkt. CrowdSec, Reverse-Proxy-Regeln und Rate Limits dienen der Abwehr automatisierter Angriffe und missbräuchlicher Zugriffe.</w:t>
      </w:r>
    </w:p>
    <w:p>
      <w:pPr>
        <w:pStyle w:val="Heading2"/>
        <w:keepNext/>
      </w:pPr>
      <w:r>
        <w:t>4. Authentifizierung und Sitzungen</w:t>
      </w:r>
    </w:p>
    <w:p>
      <w:pPr>
        <w:spacing w:before="0" w:after="120" w:line="264" w:lineRule="auto"/>
      </w:pPr>
      <w:r>
        <w:rPr>
          <w:rFonts w:ascii="Lato Light" w:hAnsi="Lato Light" w:eastAsia="Lato Light" w:cs="Lato Light"/>
          <w:b w:val="0"/>
          <w:i w:val="0"/>
          <w:color w:val="000000"/>
          <w:sz w:val="22"/>
        </w:rPr>
        <w:t>Vantero verwendet individuelle Konten, E-Mail-Verifizierung sowie Passwort-, Magic-Link- und optionale Google-/Apple-Anmeldeverfahren. Auth-Endpunkte sind rate-limitiert. Sitzungen laufen nach 7 Tagen ab; sichere Cookies werden in Produktion mit HttpOnly-, Secure- und SameSite-Eigenschaften eingesetzt.</w:t>
      </w:r>
    </w:p>
    <w:p>
      <w:pPr>
        <w:pStyle w:val="Heading2"/>
        <w:keepNext/>
      </w:pPr>
      <w:r>
        <w:t>5. Berechtigung und Mandantentrennung</w:t>
      </w:r>
    </w:p>
    <w:p>
      <w:pPr>
        <w:spacing w:before="0" w:after="120" w:line="264" w:lineRule="auto"/>
      </w:pPr>
      <w:r>
        <w:rPr>
          <w:rFonts w:ascii="Lato Light" w:hAnsi="Lato Light" w:eastAsia="Lato Light" w:cs="Lato Light"/>
          <w:b w:val="0"/>
          <w:i w:val="0"/>
          <w:color w:val="000000"/>
          <w:sz w:val="22"/>
        </w:rPr>
        <w:t>Workspace-Mitgliedschaften und Rollen werden serverseitig geprüft. Datenzugriffe sind auf den jeweils berechtigten Nutzer, Workspace oder administrativen Aufgabenbereich begrenzt. Administrative Funktionen liegen in getrennten, authentifizierten Routen. API-Schlüssel und Integrationen werden einem Nutzer beziehungsweise Workspace zugeordnet.</w:t>
      </w:r>
    </w:p>
    <w:p>
      <w:pPr>
        <w:pStyle w:val="Heading2"/>
        <w:keepNext/>
      </w:pPr>
      <w:r>
        <w:t>6. Geheimnis- und Schlüsselmanagement</w:t>
      </w:r>
    </w:p>
    <w:p>
      <w:pPr>
        <w:spacing w:before="0" w:after="120" w:line="264" w:lineRule="auto"/>
      </w:pPr>
      <w:r>
        <w:rPr>
          <w:rFonts w:ascii="Lato Light" w:hAnsi="Lato Light" w:eastAsia="Lato Light" w:cs="Lato Light"/>
          <w:b w:val="0"/>
          <w:i w:val="0"/>
          <w:color w:val="000000"/>
          <w:sz w:val="22"/>
        </w:rPr>
        <w:t>Produktive Geheimnisse werden außerhalb des Quellcodes als Umgebungs- beziehungsweise Secret-Werte geführt. Integrations- und Mail-OAuth-Token werden anwendungsseitig mit AES-256-GCM verschlüsselt. Plattform-API-Schlüssel werden aus 192 Bit Zufall erzeugt, nur einmal im Klartext angezeigt und anschließend als SHA-256-Hash gespeichert. Schlüssel und Tokens werden bei Widerruf, Sicherheitsereignissen oder Rollenwechseln erneuert beziehungsweise gelöscht.</w:t>
      </w:r>
    </w:p>
    <w:p>
      <w:pPr>
        <w:pStyle w:val="Heading2"/>
        <w:keepNext/>
      </w:pPr>
      <w:r>
        <w:t>7. Übertragungsschutz</w:t>
      </w:r>
    </w:p>
    <w:p>
      <w:pPr>
        <w:spacing w:before="0" w:after="120" w:line="264" w:lineRule="auto"/>
      </w:pPr>
      <w:r>
        <w:rPr>
          <w:rFonts w:ascii="Lato Light" w:hAnsi="Lato Light" w:eastAsia="Lato Light" w:cs="Lato Light"/>
          <w:b w:val="0"/>
          <w:i w:val="0"/>
          <w:color w:val="000000"/>
          <w:sz w:val="22"/>
        </w:rPr>
        <w:t>Öffentliche Verbindungen werden ausschließlich über HTTPS bereitgestellt. Der Reverse Proxy erlaubt TLS 1.2 und TLS 1.3 und setzt HSTS sowie weitere Sicherheitsheader. Verbindungen zu externen Anbietern verwenden TLS-geschützte Endpunkte. Signierte Download- und Upload-URLs sind kurzlebig und zweckgebunden.</w:t>
      </w:r>
    </w:p>
    <w:p>
      <w:pPr>
        <w:pStyle w:val="Heading2"/>
        <w:keepNext/>
      </w:pPr>
      <w:r>
        <w:t>8. Schutz ruhender Daten</w:t>
      </w:r>
    </w:p>
    <w:p>
      <w:pPr>
        <w:spacing w:before="0" w:after="120" w:line="264" w:lineRule="auto"/>
      </w:pPr>
      <w:r>
        <w:rPr>
          <w:rFonts w:ascii="Lato Light" w:hAnsi="Lato Light" w:eastAsia="Lato Light" w:cs="Lato Light"/>
          <w:b w:val="0"/>
          <w:i w:val="0"/>
          <w:color w:val="000000"/>
          <w:sz w:val="22"/>
        </w:rPr>
        <w:t>PostgreSQL, Objektspeicher und Sicherungen liegen auf IONOS-Block-Storage in Deutschland. IONOS verschlüsselt logische Block-Storage-Volumes mit AES-XTS 256 Bit und verwaltet je Volume getrennte, für den VM-Root-Benutzer nicht zugängliche Speicherschlüssel. Anwendungsdatenbanken und Sicherungsarchive sind nicht öffentlich erreichbar; Zugriff setzt administrativen Hostzugang voraus.</w:t>
      </w:r>
    </w:p>
    <w:p>
      <w:pPr>
        <w:pStyle w:val="Heading2"/>
        <w:keepNext/>
      </w:pPr>
      <w:r>
        <w:t>9. Protokollierung und Nachvollziehbarkeit</w:t>
      </w:r>
    </w:p>
    <w:p>
      <w:pPr>
        <w:spacing w:before="0" w:after="120" w:line="264" w:lineRule="auto"/>
      </w:pPr>
      <w:r>
        <w:rPr>
          <w:rFonts w:ascii="Lato Light" w:hAnsi="Lato Light" w:eastAsia="Lato Light" w:cs="Lato Light"/>
          <w:b w:val="0"/>
          <w:i w:val="0"/>
          <w:color w:val="000000"/>
          <w:sz w:val="22"/>
        </w:rPr>
        <w:t>Zeitgestempelte Anwendungs-, Audit-, Compliance-, Fehler- und Sicherheitsereignisse unterstützen Nachvollziehbarkeit und Störungsanalyse. Betriebs-, Fehler- und Sicherheitsprotokolle werden zugriffsbeschränkt und nach Zweck sowie der jeweils dokumentierten Systemkonfiguration rotiert oder gelöscht. Inhalte von Prompts, Dateien und Antworten werden nicht gezielt zu Analysezwecken protokolliert; unvermeidbare Fehlerkontexte werden minimiert und zugriffsbeschränkt behandelt. Erforderliche Auszüge dürfen für die Dauer einer konkreten Sicherheits- oder Fehleruntersuchung gesperrt aufbewahrt werden.</w:t>
      </w:r>
    </w:p>
    <w:p>
      <w:pPr>
        <w:pStyle w:val="Heading2"/>
        <w:keepNext/>
      </w:pPr>
      <w:r>
        <w:t>10. Verfügbarkeit und Belastbarkeit</w:t>
      </w:r>
    </w:p>
    <w:p>
      <w:pPr>
        <w:spacing w:before="0" w:after="120" w:line="264" w:lineRule="auto"/>
      </w:pPr>
      <w:r>
        <w:rPr>
          <w:rFonts w:ascii="Lato Light" w:hAnsi="Lato Light" w:eastAsia="Lato Light" w:cs="Lato Light"/>
          <w:b w:val="0"/>
          <w:i w:val="0"/>
          <w:color w:val="000000"/>
          <w:sz w:val="22"/>
        </w:rPr>
        <w:t>Container-Healthchecks, Neustartregeln, Prometheus/Grafana-Monitoring, Host- und Datenbankmetriken sowie Alarmierung auf veraltete Sicherungen unterstützen die Verfügbarkeit. Der Server erhält automatische Sicherheitsaktualisierungen. Reverse Proxy, interne Netztrennung, Rate Limits und Ressourcengrenzen reduzieren Überlastungs- und Missbrauchsrisiken.</w:t>
      </w:r>
    </w:p>
    <w:p>
      <w:pPr>
        <w:pStyle w:val="Heading2"/>
        <w:keepNext/>
      </w:pPr>
      <w:r>
        <w:t>11. Sicherung und Wiederherstellung</w:t>
      </w:r>
    </w:p>
    <w:p>
      <w:pPr>
        <w:spacing w:before="0" w:after="120" w:line="264" w:lineRule="auto"/>
      </w:pPr>
      <w:r>
        <w:rPr>
          <w:rFonts w:ascii="Lato Light" w:hAnsi="Lato Light" w:eastAsia="Lato Light" w:cs="Lato Light"/>
          <w:b w:val="0"/>
          <w:i w:val="0"/>
          <w:color w:val="000000"/>
          <w:sz w:val="22"/>
        </w:rPr>
        <w:t>Vollständige Datenbank- und Objektspeichersicherungen werden alle 6 Stunden erstellt und als 28 rollierende Generationen für 7 Tage aufbewahrt. Die Sicherungen liegen zugriffsbeschränkt auf dem verschlüsselten IONOS-Block-Storage. Historische Legacy-, Migrations- und Sicherheitssnapshots können getrennt und zugriffsbeschränkt aufbewahrt werden. Sie werden nicht für den laufenden Betrieb verwendet, regelmäßig auf ihre weitere Erforderlichkeit geprüft und nach dokumentiertem Zweckfortfall gelöscht. Ein dokumentiertes Restore-Skript erstellt vor einer Wiederherstellung eine zusätzliche Sicherung, stoppt den betroffenen Webdienst, stellt die Datenbank wieder her und verlangt anschließend eine Funktionsprüfung.</w:t>
      </w:r>
    </w:p>
    <w:p>
      <w:pPr>
        <w:pStyle w:val="Heading2"/>
        <w:keepNext/>
      </w:pPr>
      <w:r>
        <w:t>12. Löschung und Datenträger</w:t>
      </w:r>
    </w:p>
    <w:p>
      <w:pPr>
        <w:spacing w:before="0" w:after="120" w:line="264" w:lineRule="auto"/>
      </w:pPr>
      <w:r>
        <w:rPr>
          <w:rFonts w:ascii="Lato Light" w:hAnsi="Lato Light" w:eastAsia="Lato Light" w:cs="Lato Light"/>
          <w:b w:val="0"/>
          <w:i w:val="0"/>
          <w:color w:val="000000"/>
          <w:sz w:val="22"/>
        </w:rPr>
        <w:t>Konten können über die Plattform gelöscht werden; der Zugang wird dabei beendet. Zugeordnete produktive Datensätze und Objekte werden anschließend im kontrollierten Löschverfahren identifiziert und gelöscht oder, soweit erforderlich, anonymisiert. Gesetzlich aufzubewahrende Daten werden bis zum Fristablauf gesperrt. Automatische Sicherungen altern innerhalb des regulären Sicherungszyklus aus; gesonderte Snapshots werden nach dokumentiertem Zweckfortfall gelöscht. IONOS löscht entfernte Block-Storage-Volumes durch kryptografische beziehungsweise metadatenbasierte Unbrauchbarmachung.</w:t>
      </w:r>
    </w:p>
    <w:p>
      <w:pPr>
        <w:pStyle w:val="Heading2"/>
        <w:keepNext/>
      </w:pPr>
      <w:r>
        <w:t>13. Sicherheitsvorfälle</w:t>
      </w:r>
    </w:p>
    <w:p>
      <w:pPr>
        <w:spacing w:before="0" w:after="120" w:line="264" w:lineRule="auto"/>
      </w:pPr>
      <w:r>
        <w:rPr>
          <w:rFonts w:ascii="Lato Light" w:hAnsi="Lato Light" w:eastAsia="Lato Light" w:cs="Lato Light"/>
          <w:b w:val="0"/>
          <w:i w:val="0"/>
          <w:color w:val="000000"/>
          <w:sz w:val="22"/>
        </w:rPr>
        <w:t>Sicherheitsereignisse werden triagiert, eingedämmt, dokumentiert und hinsichtlich Ursache, Auswirkungen und Abhilfemaßnahmen bewertet. Der Auftraggeber wird bei einer Verletzung von Auftragsdaten unverzüglich über den in Anlage 4 genannten Kanal informiert; weitere Informationen werden fortlaufend nachgereicht.</w:t>
      </w:r>
    </w:p>
    <w:p>
      <w:r>
        <w:br w:type="page"/>
      </w:r>
    </w:p>
    <w:p>
      <w:pPr>
        <w:pStyle w:val="Heading2"/>
        <w:keepNext/>
      </w:pPr>
      <w:r>
        <w:t>14. Lieferanten- und Änderungsmanagement</w:t>
      </w:r>
    </w:p>
    <w:p>
      <w:pPr>
        <w:spacing w:before="0" w:after="120" w:line="264" w:lineRule="auto"/>
      </w:pPr>
      <w:r>
        <w:rPr>
          <w:rFonts w:ascii="Lato Light" w:hAnsi="Lato Light" w:eastAsia="Lato Light" w:cs="Lato Light"/>
          <w:b w:val="0"/>
          <w:i w:val="0"/>
          <w:color w:val="000000"/>
          <w:sz w:val="22"/>
        </w:rPr>
        <w:t>Neue oder geänderte Datenanbieter werden vor produktiver Freigabe hinsichtlich DPA/AVV, TOM, Unterauftragnehmern, Standort, Drittlandmechanismus, Trainingsnutzung und Aufbewahrung geprüft. Änderungen der Unterauftragnehmerliste werden nach § 8 mitgeteilt. Modell- oder Toolfreigaben werden zurückgenommen, wenn die erforderliche Vertrags- oder Sicherheitsgrundlage entfällt.</w:t>
      </w:r>
    </w:p>
    <w:p>
      <w:pPr>
        <w:pStyle w:val="Heading2"/>
        <w:keepNext/>
      </w:pPr>
      <w:r>
        <w:t>15. Datensparsamkeit und KI-spezifische Kontrollen</w:t>
      </w:r>
    </w:p>
    <w:p>
      <w:pPr>
        <w:spacing w:before="0" w:after="120" w:line="264" w:lineRule="auto"/>
      </w:pPr>
      <w:r>
        <w:rPr>
          <w:rFonts w:ascii="Lato Light" w:hAnsi="Lato Light" w:eastAsia="Lato Light" w:cs="Lato Light"/>
          <w:b w:val="0"/>
          <w:i w:val="0"/>
          <w:color w:val="000000"/>
          <w:sz w:val="22"/>
        </w:rPr>
        <w:t>An externe Modell- und Suchanbieter werden nur der für die jeweilige Anfrage erforderliche Prompt, ausgewählte Anhänge beziehungsweise Suchbegriffe und technische Request-Metadaten übertragen; Account-Stammdaten werden nicht Teil des Modellprompts. Anbieter-Feedback zu Trainingszwecken wird nicht genutzt. Pexels-Abfragen dürfen ausschließlich abstrahierte, nicht personenbezogene und nicht vertrauliche Bildsuchbegriffe enthalten; andernfalls ist die Stockbildsuche zu deaktivieren.</w:t>
      </w:r>
    </w:p>
    <w:p>
      <w:pPr>
        <w:pStyle w:val="Heading2"/>
        <w:keepNext/>
      </w:pPr>
      <w:r>
        <w:t>16. Wirksamkeitsprüfung</w:t>
      </w:r>
    </w:p>
    <w:p>
      <w:pPr>
        <w:spacing w:before="0" w:after="120" w:line="264" w:lineRule="auto"/>
      </w:pPr>
      <w:r>
        <w:rPr>
          <w:rFonts w:ascii="Lato Light" w:hAnsi="Lato Light" w:eastAsia="Lato Light" w:cs="Lato Light"/>
          <w:b w:val="0"/>
          <w:i w:val="0"/>
          <w:color w:val="000000"/>
          <w:sz w:val="22"/>
        </w:rPr>
        <w:t>Code-Reviews, automatisierte Tests, Monitoring, Patch- und Change-Prozesse sowie anlassbezogene Konfigurationsprüfungen dienen der regelmäßigen Bewertung. Wesentliche Feststellungen werden risikobasiert priorisiert und nachverfolgt; externe Zertifikate und Anbieter-Nachweise werden bei wesentlichen Änderungen beziehungsweise regelmäßig aktualisiert.</w:t>
      </w:r>
    </w:p>
    <w:p>
      <w:r>
        <w:br w:type="page"/>
      </w:r>
    </w:p>
    <w:p>
      <w:pPr>
        <w:pStyle w:val="Heading1"/>
        <w:keepNext/>
      </w:pPr>
      <w:r>
        <w:t>Anlage 3 – Unterauftragnehmer und weitere Empfänger</w:t>
      </w:r>
    </w:p>
    <w:p>
      <w:pPr>
        <w:spacing w:before="0" w:after="120" w:line="264" w:lineRule="auto"/>
      </w:pPr>
      <w:r>
        <w:rPr>
          <w:rFonts w:ascii="Lato Light" w:hAnsi="Lato Light" w:eastAsia="Lato Light" w:cs="Lato Light"/>
          <w:b w:val="0"/>
          <w:i w:val="0"/>
          <w:color w:val="000000"/>
          <w:sz w:val="22"/>
        </w:rPr>
        <w:t>Die folgenden Unterauftragnehmer sind allgemein genehmigt, werden aber nur eingesetzt, wenn die zugehörige Funktion oder das jeweilige Modell aktiviert ist und sämtliche nachstehend genannten Einsatzvoraussetzungen nachweisbar erfüllt sind. Die bloße Aufnahme in diese Liste ersetzt keinen erforderlichen Vertrag, Transfermechanismus oder Konfigurationsnachweis. Ohne vollständige Freigabe dürfen keine Auftragsdaten an den betreffenden Anbieter übermittelt werden. Stand: 4. September 2026.</w:t>
      </w:r>
    </w:p>
    <w:tbl>
      <w:tblPr>
        <w:tblW w:type="dxa" w:w="9360"/>
        <w:tblLayout w:type="fixed"/>
        <w:tblLook w:firstColumn="1" w:firstRow="1" w:lastColumn="0" w:lastRow="0" w:noHBand="0" w:noVBand="1" w:val="04A0"/>
        <w:jc w:val="left"/>
        <w:tblInd w:w="120"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2100"/>
        <w:gridCol w:w="2450"/>
        <w:gridCol w:w="1700"/>
        <w:gridCol w:w="3110"/>
      </w:tblGrid>
      <w:tr>
        <w:trPr>
          <w:tblHeader w:val="true"/>
        </w:trPr>
        <w:tc>
          <w:tcPr>
            <w:tcW w:type="dxa" w:w="2100"/>
            <w:tcMar>
              <w:top w:w="90" w:type="dxa"/>
              <w:start w:w="120" w:type="dxa"/>
              <w:bottom w:w="90" w:type="dxa"/>
              <w:end w:w="120" w:type="dxa"/>
            </w:tcMar>
            <w:vAlign w:val="center"/>
            <w:shd w:fill="FFFFFF"/>
          </w:tcPr>
          <w:p>
            <w:pPr>
              <w:spacing w:before="0" w:after="0" w:line="259" w:lineRule="auto"/>
              <w:jc w:val="left"/>
            </w:pPr>
            <w:r>
              <w:rPr>
                <w:rFonts w:ascii="Lato Light" w:hAnsi="Lato Light" w:eastAsia="Lato Light" w:cs="Lato Light"/>
                <w:b/>
                <w:color w:val="000000"/>
                <w:sz w:val="22"/>
              </w:rPr>
              <w:t>Anbieter</w:t>
            </w:r>
          </w:p>
        </w:tc>
        <w:tc>
          <w:tcPr>
            <w:tcW w:type="dxa" w:w="2450"/>
            <w:tcMar>
              <w:top w:w="90" w:type="dxa"/>
              <w:start w:w="120" w:type="dxa"/>
              <w:bottom w:w="90" w:type="dxa"/>
              <w:end w:w="120" w:type="dxa"/>
            </w:tcMar>
            <w:vAlign w:val="center"/>
            <w:shd w:fill="FFFFFF"/>
          </w:tcPr>
          <w:p>
            <w:pPr>
              <w:spacing w:before="0" w:after="0" w:line="259" w:lineRule="auto"/>
              <w:jc w:val="left"/>
            </w:pPr>
            <w:r>
              <w:rPr>
                <w:rFonts w:ascii="Lato Light" w:hAnsi="Lato Light" w:eastAsia="Lato Light" w:cs="Lato Light"/>
                <w:b/>
                <w:color w:val="000000"/>
                <w:sz w:val="22"/>
              </w:rPr>
              <w:t>Dienst / Daten</w:t>
            </w:r>
          </w:p>
        </w:tc>
        <w:tc>
          <w:tcPr>
            <w:tcW w:type="dxa" w:w="1700"/>
            <w:tcMar>
              <w:top w:w="90" w:type="dxa"/>
              <w:start w:w="120" w:type="dxa"/>
              <w:bottom w:w="90" w:type="dxa"/>
              <w:end w:w="120" w:type="dxa"/>
            </w:tcMar>
            <w:vAlign w:val="center"/>
            <w:shd w:fill="FFFFFF"/>
          </w:tcPr>
          <w:p>
            <w:pPr>
              <w:spacing w:before="0" w:after="0" w:line="259" w:lineRule="auto"/>
              <w:jc w:val="left"/>
            </w:pPr>
            <w:r>
              <w:rPr>
                <w:rFonts w:ascii="Lato Light" w:hAnsi="Lato Light" w:eastAsia="Lato Light" w:cs="Lato Light"/>
                <w:b/>
                <w:color w:val="000000"/>
                <w:sz w:val="22"/>
              </w:rPr>
              <w:t>Ort</w:t>
            </w:r>
          </w:p>
        </w:tc>
        <w:tc>
          <w:tcPr>
            <w:tcW w:type="dxa" w:w="3110"/>
            <w:tcMar>
              <w:top w:w="90" w:type="dxa"/>
              <w:start w:w="120" w:type="dxa"/>
              <w:bottom w:w="90" w:type="dxa"/>
              <w:end w:w="120" w:type="dxa"/>
            </w:tcMar>
            <w:vAlign w:val="center"/>
            <w:shd w:fill="FFFFFF"/>
          </w:tcPr>
          <w:p>
            <w:pPr>
              <w:spacing w:before="0" w:after="0" w:line="259" w:lineRule="auto"/>
              <w:jc w:val="left"/>
            </w:pPr>
            <w:r>
              <w:rPr>
                <w:rFonts w:ascii="Lato Light" w:hAnsi="Lato Light" w:eastAsia="Lato Light" w:cs="Lato Light"/>
                <w:b/>
                <w:color w:val="000000"/>
                <w:sz w:val="22"/>
              </w:rPr>
              <w:t>Vertrags- und Aufbewahrungsrahmen</w:t>
            </w:r>
          </w:p>
        </w:tc>
      </w:tr>
      <w:tr>
        <w:trPr>
          <w:cantSplit w:val="true"/>
        </w:trPr>
        <w:tc>
          <w:tcPr>
            <w:tcW w:type="dxa" w:w="21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IONOS Cloud GmbH</w:t>
              <w:br/>
              <w:t>Elgendorfer Straße 57, 56410 Montabaur</w:t>
            </w:r>
          </w:p>
        </w:tc>
        <w:tc>
          <w:tcPr>
            <w:tcW w:type="dxa" w:w="24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Compute/Hosting für selbst betriebene Datenbank, Objektspeicher, Redis, Web-App, Worker und Monitoring</w:t>
            </w:r>
          </w:p>
        </w:tc>
        <w:tc>
          <w:tcPr>
            <w:tcW w:type="dxa" w:w="17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Frankfurt am Main, Deutschland (de/fra)</w:t>
            </w:r>
          </w:p>
        </w:tc>
        <w:tc>
          <w:tcPr>
            <w:tcW w:type="dxa" w:w="311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IONOS-Cloud-AVV/AGB und TOM; ISO/IEC 27001/BSI-Nachweise für Infrastruktur; Block-Storage AES-XTS 256 Bit.</w:t>
            </w:r>
          </w:p>
        </w:tc>
      </w:tr>
      <w:tr>
        <w:trPr>
          <w:cantSplit w:val="true"/>
        </w:trPr>
        <w:tc>
          <w:tcPr>
            <w:tcW w:type="dxa" w:w="21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IONOS SE</w:t>
              <w:br/>
              <w:t>Elgendorfer Straße 57, 56410 Montabaur</w:t>
            </w:r>
          </w:p>
        </w:tc>
        <w:tc>
          <w:tcPr>
            <w:tcW w:type="dxa" w:w="24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SMTP für Verifikation, Login, Sicherheit und transaktionale E-Mails</w:t>
            </w:r>
          </w:p>
        </w:tc>
        <w:tc>
          <w:tcPr>
            <w:tcW w:type="dxa" w:w="17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Deutschland/EU; smtp.ionos.de</w:t>
            </w:r>
          </w:p>
        </w:tc>
        <w:tc>
          <w:tcPr>
            <w:tcW w:type="dxa" w:w="311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IONOS-AVV ist für Neuverträge seit 19.07.2022 Bestandteil der AGB; TLS-Übertragung.</w:t>
            </w:r>
          </w:p>
        </w:tc>
      </w:tr>
      <w:tr>
        <w:trPr>
          <w:cantSplit w:val="true"/>
        </w:trPr>
        <w:tc>
          <w:tcPr>
            <w:tcW w:type="dxa" w:w="21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IONOS Cloud GmbH</w:t>
            </w:r>
          </w:p>
        </w:tc>
        <w:tc>
          <w:tcPr>
            <w:tcW w:type="dxa" w:w="24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Optionale KI-Inferenz über AI Model Hub</w:t>
            </w:r>
          </w:p>
        </w:tc>
        <w:tc>
          <w:tcPr>
            <w:tcW w:type="dxa" w:w="17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Deutschland; aktiver Endpoint de-txl (Berlin)</w:t>
            </w:r>
          </w:p>
        </w:tc>
        <w:tc>
          <w:tcPr>
            <w:tcW w:type="dxa" w:w="311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Stateless: Prompts und Ausgaben werden nach der Sitzung verworfen, nicht protokolliert und nicht zum Training genutzt.</w:t>
            </w:r>
          </w:p>
        </w:tc>
      </w:tr>
      <w:tr>
        <w:trPr>
          <w:cantSplit w:val="true"/>
        </w:trPr>
        <w:tc>
          <w:tcPr>
            <w:tcW w:type="dxa" w:w="21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STACKIT GmbH &amp; Co. KG</w:t>
              <w:br/>
              <w:t>Stiftsbergstraße 1, 74172 Neckarsulm</w:t>
            </w:r>
          </w:p>
        </w:tc>
        <w:tc>
          <w:tcPr>
            <w:tcW w:type="dxa" w:w="24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Optionale KI-Modellinferenz</w:t>
            </w:r>
          </w:p>
        </w:tc>
        <w:tc>
          <w:tcPr>
            <w:tcW w:type="dxa" w:w="17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Germany South, EU01</w:t>
            </w:r>
          </w:p>
        </w:tc>
        <w:tc>
          <w:tcPr>
            <w:tcW w:type="dxa" w:w="311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STACKIT-DPA und TOM; nur freigegebene Modelle. Keine darüber hinausgehende Trainings- oder Zero-Retention-Zusage ohne produktspezifischen Nachweis.</w:t>
            </w:r>
          </w:p>
        </w:tc>
      </w:tr>
      <w:tr>
        <w:trPr>
          <w:cantSplit w:val="true"/>
        </w:trPr>
        <w:tc>
          <w:tcPr>
            <w:tcW w:type="dxa" w:w="21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Mistral AI SAS</w:t>
              <w:br/>
              <w:t>15 rue des Halles, 75001 Paris, Frankreich</w:t>
            </w:r>
          </w:p>
        </w:tc>
        <w:tc>
          <w:tcPr>
            <w:tcW w:type="dxa" w:w="24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Optionale direkte KI-Inferenz, Audio-Transkription und native Websuche</w:t>
            </w:r>
          </w:p>
        </w:tc>
        <w:tc>
          <w:tcPr>
            <w:tcW w:type="dxa" w:w="17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Aktuell globaler API-Endpoint ohne feste Inferenzregion; mögliche Drittländer</w:t>
            </w:r>
          </w:p>
        </w:tc>
        <w:tc>
          <w:tcPr>
            <w:tcW w:type="dxa" w:w="311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Einsatz nur mit wirksamem Mistral-DPA/SCC und dokumentierter Abwahl der Trainingsnutzung. Feedback wird nicht übermittelt. Zero Data Retention gilt nur, wenn sie für das Konto aktiviert und nachgewiesen ist. Für EU-only-Anforderungen ist der globale Endpoint nicht geeignet.</w:t>
            </w:r>
          </w:p>
        </w:tc>
      </w:tr>
      <w:tr>
        <w:trPr>
          <w:cantSplit w:val="true"/>
        </w:trPr>
        <w:tc>
          <w:tcPr>
            <w:tcW w:type="dxa" w:w="21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Microsoft Ireland Operations Limited</w:t>
              <w:br/>
              <w:t>One Microsoft Place, Dublin D18 P521, Irland</w:t>
            </w:r>
          </w:p>
        </w:tc>
        <w:tc>
          <w:tcPr>
            <w:tcW w:type="dxa" w:w="24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Optionale Azure-AI-Inferenz</w:t>
            </w:r>
          </w:p>
        </w:tc>
        <w:tc>
          <w:tcPr>
            <w:tcW w:type="dxa" w:w="17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Germany West Central und Sweden Central</w:t>
            </w:r>
          </w:p>
        </w:tc>
        <w:tc>
          <w:tcPr>
            <w:tcW w:type="dxa" w:w="311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Microsoft Products and Services DPA. Prompts/Ausgaben nicht zum Modelltraining; standardmäßige Missbrauchsprüfung kann markierte Inhalte speichern, sofern kein geänderter Monitoring-Status genehmigt ist.</w:t>
            </w:r>
          </w:p>
        </w:tc>
      </w:tr>
      <w:tr>
        <w:trPr>
          <w:cantSplit w:val="true"/>
        </w:trPr>
        <w:tc>
          <w:tcPr>
            <w:tcW w:type="dxa" w:w="21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Amazon Web Services EMEA SARL</w:t>
              <w:br/>
              <w:t>38 Avenue John F. Kennedy, L-1855 Luxemburg</w:t>
            </w:r>
          </w:p>
        </w:tc>
        <w:tc>
          <w:tcPr>
            <w:tcW w:type="dxa" w:w="24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Optionale Amazon-Bedrock-Inferenz und Bildgenerierung</w:t>
            </w:r>
          </w:p>
        </w:tc>
        <w:tc>
          <w:tcPr>
            <w:tcW w:type="dxa" w:w="17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eu-central-1, Frankfurt; modellabhängige EU-Zielregionen möglich</w:t>
            </w:r>
          </w:p>
        </w:tc>
        <w:tc>
          <w:tcPr>
            <w:tcW w:type="dxa" w:w="311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AWS GDPR DPA. Konto-Retention steht auf „inherit“; daher gilt die modellabhängige Vorgabe. Kein provider_data_share ohne gesonderte Freigabe; einzelne Modelle können Sicherheitsdaten bis zu 30 Tage speichern.</w:t>
            </w:r>
          </w:p>
        </w:tc>
      </w:tr>
      <w:tr>
        <w:trPr>
          <w:cantSplit w:val="true"/>
        </w:trPr>
        <w:tc>
          <w:tcPr>
            <w:tcW w:type="dxa" w:w="21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Google Cloud EMEA Limited</w:t>
              <w:br/>
              <w:t>70 Sir John Rogerson’s Quay, Dublin 2, Irland</w:t>
            </w:r>
          </w:p>
        </w:tc>
        <w:tc>
          <w:tcPr>
            <w:tcW w:type="dxa" w:w="24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Optionale Vertex-AI-/Gemini-Inferenz</w:t>
            </w:r>
          </w:p>
        </w:tc>
        <w:tc>
          <w:tcPr>
            <w:tcW w:type="dxa" w:w="17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europe-west1, Belgien; funktionsabhängige Verarbeitung innerhalb der Google-Cloud-Geografie</w:t>
            </w:r>
          </w:p>
        </w:tc>
        <w:tc>
          <w:tcPr>
            <w:tcW w:type="dxa" w:w="311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Google Cloud DPA/SCC. Kein Training ohne Weisung. Abuse-Prompt-Logging oder Grounding kann anbieterseitig speichern; Grounding mit Google Search speichert relevante Inhalte bis zu 30 Tage.</w:t>
            </w:r>
          </w:p>
        </w:tc>
      </w:tr>
      <w:tr>
        <w:trPr>
          <w:cantSplit w:val="true"/>
        </w:trPr>
        <w:tc>
          <w:tcPr>
            <w:tcW w:type="dxa" w:w="21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Perplexity AI, Inc.</w:t>
              <w:br/>
              <w:t>115 Sansome St., 9th Floor, San Francisco, CA 94104, USA</w:t>
            </w:r>
          </w:p>
        </w:tc>
        <w:tc>
          <w:tcPr>
            <w:tcW w:type="dxa" w:w="24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Optionale Sonar-KI-Inferenz mit Webrecherche</w:t>
            </w:r>
          </w:p>
        </w:tc>
        <w:tc>
          <w:tcPr>
            <w:tcW w:type="dxa" w:w="17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AWS-Infrastruktur in Nordamerika/USA</w:t>
            </w:r>
          </w:p>
        </w:tc>
        <w:tc>
          <w:tcPr>
            <w:tcW w:type="dxa" w:w="311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Perplexity-DPA, SCC Modul 3 und Transferprüfung. Sonar API: keine Speicherung von Prompt-/Antwortinhalten und kein Training; nur Abrechnungsmetadaten.</w:t>
            </w:r>
          </w:p>
        </w:tc>
      </w:tr>
      <w:tr>
        <w:trPr>
          <w:cantSplit w:val="true"/>
        </w:trPr>
        <w:tc>
          <w:tcPr>
            <w:tcW w:type="dxa" w:w="21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StackOne Technologies Limited</w:t>
              <w:br/>
              <w:t>2 Communications Road, Newbury RG19 6AB, Vereinigtes Königreich</w:t>
            </w:r>
          </w:p>
        </w:tc>
        <w:tc>
          <w:tcPr>
            <w:tcW w:type="dxa" w:w="24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Optionale Konnektoren zu Google Workspace, Gmail, Calendar, Analytics, Search Console, Trello und weiteren vom Kunden gewählten Diensten</w:t>
            </w:r>
          </w:p>
        </w:tc>
        <w:tc>
          <w:tcPr>
            <w:tcW w:type="dxa" w:w="17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EU1; Zielsysteme nach Kundenwahl</w:t>
            </w:r>
          </w:p>
        </w:tc>
        <w:tc>
          <w:tcPr>
            <w:tcW w:type="dxa" w:w="311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StackOne-DPA; SCC Modul 3 und 14-tägige Unterauftragnehmermitteilung. Nur aktivierte Konten und erforderliche Daten; Zielanbieter kann eigener Auftragsverarbeiter oder Verantwortlicher des Auftraggebers sein.</w:t>
            </w:r>
          </w:p>
        </w:tc>
      </w:tr>
      <w:tr>
        <w:trPr>
          <w:cantSplit w:val="true"/>
        </w:trPr>
        <w:tc>
          <w:tcPr>
            <w:tcW w:type="dxa" w:w="21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Linkup Technologies SAS</w:t>
              <w:br/>
              <w:t>28 avenue des Pépinières, 94260 Fresnes, Frankreich</w:t>
            </w:r>
          </w:p>
        </w:tc>
        <w:tc>
          <w:tcPr>
            <w:tcW w:type="dxa" w:w="245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Optionale Websuche, URL-Abruf und Recherche</w:t>
            </w:r>
          </w:p>
        </w:tc>
        <w:tc>
          <w:tcPr>
            <w:tcW w:type="dxa" w:w="17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EU</w:t>
            </w:r>
          </w:p>
        </w:tc>
        <w:tc>
          <w:tcPr>
            <w:tcW w:type="dxa" w:w="311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Für personenbezogene Auftragsdaten nur freigegeben, wenn ein wirksames DPA und die geltende Aufbewahrungsregelung dokumentiert sind. Die technische Freigabe setzt die gesetzten Betreiberkennzeichen für DPA und Retention voraus. Die Standardaufbewahrung kann nach Anbieterangabe bis zu 3 Jahre betragen; Zero Data Retention gilt nur, wenn sie vertraglich aktiviert und nachgewiesen ist. Übermittelt werden nur die erforderliche Suchanfrage beziehungsweise URL.</w:t>
            </w:r>
          </w:p>
        </w:tc>
      </w:tr>
    </w:tbl>
    <w:p>
      <w:pPr>
        <w:pStyle w:val="Heading2"/>
        <w:keepNext/>
      </w:pPr>
      <w:r>
        <w:t>Weitere Empfänger und kundenseitig gewählte Dienste</w:t>
      </w:r>
    </w:p>
    <w:tbl>
      <w:tblPr>
        <w:tblW w:type="dxa" w:w="9360"/>
        <w:tblLayout w:type="fixed"/>
        <w:tblLook w:firstColumn="1" w:firstRow="1" w:lastColumn="0" w:lastRow="0" w:noHBand="0" w:noVBand="1" w:val="04A0"/>
        <w:jc w:val="left"/>
        <w:tblInd w:w="120"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2800"/>
        <w:gridCol w:w="6560"/>
      </w:tblGrid>
      <w:tr>
        <w:trPr>
          <w:tblHeader w:val="true"/>
        </w:trPr>
        <w:tc>
          <w:tcPr>
            <w:tcW w:type="dxa" w:w="2800"/>
            <w:tcMar>
              <w:top w:w="90" w:type="dxa"/>
              <w:start w:w="120" w:type="dxa"/>
              <w:bottom w:w="90" w:type="dxa"/>
              <w:end w:w="120" w:type="dxa"/>
            </w:tcMar>
            <w:vAlign w:val="center"/>
            <w:shd w:fill="F2F2F2"/>
          </w:tcPr>
          <w:p>
            <w:pPr>
              <w:spacing w:before="0" w:after="0" w:line="259" w:lineRule="auto"/>
              <w:jc w:val="left"/>
            </w:pPr>
            <w:r>
              <w:rPr>
                <w:rFonts w:ascii="Lato Light" w:hAnsi="Lato Light" w:eastAsia="Lato Light" w:cs="Lato Light"/>
                <w:b/>
                <w:color w:val="000000"/>
                <w:sz w:val="22"/>
              </w:rPr>
              <w:t>Empfänger</w:t>
            </w:r>
          </w:p>
        </w:tc>
        <w:tc>
          <w:tcPr>
            <w:tcW w:type="dxa" w:w="6560"/>
            <w:tcMar>
              <w:top w:w="90" w:type="dxa"/>
              <w:start w:w="120" w:type="dxa"/>
              <w:bottom w:w="90" w:type="dxa"/>
              <w:end w:w="120" w:type="dxa"/>
            </w:tcMar>
            <w:vAlign w:val="center"/>
            <w:shd w:fill="F2F2F2"/>
          </w:tcPr>
          <w:p>
            <w:pPr>
              <w:spacing w:before="0" w:after="0" w:line="259" w:lineRule="auto"/>
              <w:jc w:val="left"/>
            </w:pPr>
            <w:r>
              <w:rPr>
                <w:rFonts w:ascii="Lato Light" w:hAnsi="Lato Light" w:eastAsia="Lato Light" w:cs="Lato Light"/>
                <w:b/>
                <w:color w:val="000000"/>
                <w:sz w:val="22"/>
              </w:rPr>
              <w:t>Rolle und Begrenzung</w:t>
            </w:r>
          </w:p>
        </w:tc>
      </w:tr>
      <w:tr>
        <w:tc>
          <w:tcPr>
            <w:tcW w:type="dxa" w:w="28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Pexels / Canva Germany GmbH</w:t>
            </w:r>
          </w:p>
        </w:tc>
        <w:tc>
          <w:tcPr>
            <w:tcW w:type="dxa" w:w="65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Stockbildsuche für Präsentationen. Es dürfen nur abstrahierte, nicht personenbezogene und nicht vertrauliche Suchbegriffe übermittelt werden. Pexels verarbeitet Such- und Nutzungsdaten auch für eigene Analyse- und Machine-Learning-Zwecke; daher keine Nutzung für sensible Inhalte.</w:t>
            </w:r>
          </w:p>
        </w:tc>
      </w:tr>
      <w:tr>
        <w:tc>
          <w:tcPr>
            <w:tcW w:type="dxa" w:w="28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Google und Apple als Identitätsanbieter</w:t>
            </w:r>
          </w:p>
        </w:tc>
        <w:tc>
          <w:tcPr>
            <w:tcW w:type="dxa" w:w="65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Nur bei vom Nutzer gewählter Anmeldung. Der Anbieter verarbeitet Anmelde- und Kontodaten nach der jeweiligen eigenen Vertrags- und Datenschutzrolle.</w:t>
            </w:r>
          </w:p>
        </w:tc>
      </w:tr>
      <w:tr>
        <w:tc>
          <w:tcPr>
            <w:tcW w:type="dxa" w:w="28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Creem und Apple App Store (derzeit nicht aktiv)</w:t>
            </w:r>
          </w:p>
        </w:tc>
        <w:tc>
          <w:tcPr>
            <w:tcW w:type="dxa" w:w="65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Derzeit findet keine Zahlungs-, Steuer- oder App-Store-Abwicklung für kostenpflichtige Vantero-Abonnements statt. Erst bei späterer Aktivierung erhält Vantero die erforderlichen Bestell-, Kunden-, Tarif- und Statusreferenzen; keine vollständigen Karten- oder Bankdaten.</w:t>
            </w:r>
          </w:p>
        </w:tc>
      </w:tr>
      <w:tr>
        <w:tc>
          <w:tcPr>
            <w:tcW w:type="dxa" w:w="28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Vom Auftraggeber verbundene Zielsysteme</w:t>
            </w:r>
          </w:p>
        </w:tc>
        <w:tc>
          <w:tcPr>
            <w:tcW w:type="dxa" w:w="65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Google Workspace, Gmail, Drive, Docs, Sheets, Calendar, Analytics, Search Console, Trello und weitere Integrationen werden ausschließlich auf Weisung des Auftraggebers verbunden. Der Auftraggeber bestimmt die Berechtigungen und die Rechtsbeziehung zum Zielanbieter.</w:t>
            </w:r>
          </w:p>
        </w:tc>
      </w:tr>
    </w:tbl>
    <w:p>
      <w:r>
        <w:br w:type="page"/>
      </w:r>
    </w:p>
    <w:p>
      <w:pPr>
        <w:pStyle w:val="Heading2"/>
        <w:keepNext/>
      </w:pPr>
      <w:r>
        <w:t>Änderungsmitteilungen</w:t>
      </w:r>
    </w:p>
    <w:tbl>
      <w:tblPr>
        <w:tblW w:type="dxa" w:w="9360"/>
        <w:tblLayout w:type="fixed"/>
        <w:tblLook w:firstColumn="1" w:firstRow="1" w:lastColumn="0" w:lastRow="0" w:noHBand="0" w:noVBand="1" w:val="04A0"/>
        <w:jc w:val="left"/>
        <w:tblInd w:w="120"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2500"/>
        <w:gridCol w:w="6860"/>
      </w:tblGrid>
      <w:tr>
        <w:trPr>
          <w:tblHeader w:val="true"/>
        </w:trPr>
        <w:tc>
          <w:tcPr>
            <w:tcW w:type="dxa" w:w="2500"/>
            <w:tcMar>
              <w:top w:w="90" w:type="dxa"/>
              <w:start w:w="120" w:type="dxa"/>
              <w:bottom w:w="90" w:type="dxa"/>
              <w:end w:w="120" w:type="dxa"/>
            </w:tcMar>
            <w:vAlign w:val="center"/>
            <w:shd w:fill="F2F2F2"/>
          </w:tcPr>
          <w:p>
            <w:pPr>
              <w:spacing w:before="0" w:after="0" w:line="259" w:lineRule="auto"/>
              <w:jc w:val="left"/>
            </w:pPr>
            <w:r>
              <w:rPr>
                <w:rFonts w:ascii="Lato Light" w:hAnsi="Lato Light" w:eastAsia="Lato Light" w:cs="Lato Light"/>
                <w:b/>
                <w:color w:val="000000"/>
                <w:sz w:val="22"/>
              </w:rPr>
              <w:t>Feld</w:t>
            </w:r>
          </w:p>
        </w:tc>
        <w:tc>
          <w:tcPr>
            <w:tcW w:type="dxa" w:w="6860"/>
            <w:tcMar>
              <w:top w:w="90" w:type="dxa"/>
              <w:start w:w="120" w:type="dxa"/>
              <w:bottom w:w="90" w:type="dxa"/>
              <w:end w:w="120" w:type="dxa"/>
            </w:tcMar>
            <w:vAlign w:val="center"/>
            <w:shd w:fill="F2F2F2"/>
          </w:tcPr>
          <w:p>
            <w:pPr>
              <w:spacing w:before="0" w:after="0" w:line="259" w:lineRule="auto"/>
              <w:jc w:val="left"/>
            </w:pPr>
            <w:r>
              <w:rPr>
                <w:rFonts w:ascii="Lato Light" w:hAnsi="Lato Light" w:eastAsia="Lato Light" w:cs="Lato Light"/>
                <w:b/>
                <w:color w:val="000000"/>
                <w:sz w:val="22"/>
              </w:rPr>
              <w:t>Regel</w:t>
            </w:r>
          </w:p>
        </w:tc>
      </w:tr>
      <w:tr>
        <w:tc>
          <w:tcPr>
            <w:tcW w:type="dxa" w:w="25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Mitteilungskanal</w:t>
            </w:r>
          </w:p>
        </w:tc>
        <w:tc>
          <w:tcPr>
            <w:tcW w:type="dxa" w:w="68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E-Mail an den vom Auftraggeber benannten Datenschutz- oder Vertragskontakt; ergänzend kann eine Administrations- oder Trust-Seite verwendet werden.</w:t>
            </w:r>
          </w:p>
        </w:tc>
      </w:tr>
      <w:tr>
        <w:tc>
          <w:tcPr>
            <w:tcW w:type="dxa" w:w="25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Regelfrist</w:t>
            </w:r>
          </w:p>
        </w:tc>
        <w:tc>
          <w:tcPr>
            <w:tcW w:type="dxa" w:w="68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Mindestens 30 Kalendertage vor dem beabsichtigten Einsatz; keine Übermittlung vor Ablauf der Mitteilungs- und Widerspruchsfrist.</w:t>
            </w:r>
          </w:p>
        </w:tc>
      </w:tr>
      <w:tr>
        <w:tc>
          <w:tcPr>
            <w:tcW w:type="dxa" w:w="25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Widerspruch</w:t>
            </w:r>
          </w:p>
        </w:tc>
        <w:tc>
          <w:tcPr>
            <w:tcW w:type="dxa" w:w="68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An kontakt@franco-consulting.com innerhalb von 14 Kalendertagen nach Zugang der Mitteilung.</w:t>
            </w:r>
          </w:p>
        </w:tc>
      </w:tr>
    </w:tbl>
    <w:p>
      <w:pPr>
        <w:pStyle w:val="Heading1"/>
        <w:keepNext/>
      </w:pPr>
      <w:r>
        <w:t>Anlage 4 – Weisungen und Kontakte</w:t>
      </w:r>
    </w:p>
    <w:tbl>
      <w:tblPr>
        <w:tblW w:type="dxa" w:w="9360"/>
        <w:tblLayout w:type="fixed"/>
        <w:tblLook w:firstColumn="1" w:firstRow="1" w:lastColumn="0" w:lastRow="0" w:noHBand="0" w:noVBand="1" w:val="04A0"/>
        <w:jc w:val="left"/>
        <w:tblInd w:w="120"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3300"/>
        <w:gridCol w:w="6060"/>
      </w:tblGrid>
      <w:tr>
        <w:trPr>
          <w:tblHeader w:val="true"/>
        </w:trPr>
        <w:tc>
          <w:tcPr>
            <w:tcW w:type="dxa" w:w="3300"/>
            <w:tcMar>
              <w:top w:w="90" w:type="dxa"/>
              <w:start w:w="120" w:type="dxa"/>
              <w:bottom w:w="90" w:type="dxa"/>
              <w:end w:w="120" w:type="dxa"/>
            </w:tcMar>
            <w:vAlign w:val="center"/>
            <w:shd w:fill="FFFFFF"/>
          </w:tcPr>
          <w:p>
            <w:pPr>
              <w:spacing w:before="0" w:after="0" w:line="259" w:lineRule="auto"/>
              <w:jc w:val="left"/>
            </w:pPr>
            <w:r>
              <w:rPr>
                <w:rFonts w:ascii="Lato Light" w:hAnsi="Lato Light" w:eastAsia="Lato Light" w:cs="Lato Light"/>
                <w:b/>
                <w:color w:val="000000"/>
                <w:sz w:val="22"/>
              </w:rPr>
              <w:t>Rolle / Kanal</w:t>
            </w:r>
          </w:p>
        </w:tc>
        <w:tc>
          <w:tcPr>
            <w:tcW w:type="dxa" w:w="6060"/>
            <w:tcMar>
              <w:top w:w="90" w:type="dxa"/>
              <w:start w:w="120" w:type="dxa"/>
              <w:bottom w:w="90" w:type="dxa"/>
              <w:end w:w="120" w:type="dxa"/>
            </w:tcMar>
            <w:vAlign w:val="center"/>
            <w:shd w:fill="FFFFFF"/>
          </w:tcPr>
          <w:p>
            <w:pPr>
              <w:spacing w:before="0" w:after="0" w:line="259" w:lineRule="auto"/>
              <w:jc w:val="left"/>
            </w:pPr>
            <w:r>
              <w:rPr>
                <w:rFonts w:ascii="Lato Light" w:hAnsi="Lato Light" w:eastAsia="Lato Light" w:cs="Lato Light"/>
                <w:b/>
                <w:color w:val="000000"/>
                <w:sz w:val="22"/>
              </w:rPr>
              <w:t>Angabe</w:t>
            </w:r>
          </w:p>
        </w:tc>
      </w:tr>
      <w:tr>
        <w:tc>
          <w:tcPr>
            <w:tcW w:type="dxa" w:w="33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Weisungsberechtigte Person(en) Auftraggeber</w:t>
            </w:r>
          </w:p>
        </w:tc>
        <w:tc>
          <w:tcPr>
            <w:tcW w:type="dxa" w:w="60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Die im Kundenkonto oder in der Leistungsvereinbarung hinterlegten vertretungsberechtigten und administrativen Kontakte; Änderungen sind in Textform möglich.</w:t>
            </w:r>
          </w:p>
        </w:tc>
      </w:tr>
      <w:tr>
        <w:tc>
          <w:tcPr>
            <w:tcW w:type="dxa" w:w="33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Datenschutzkontakt Auftraggeber</w:t>
            </w:r>
          </w:p>
        </w:tc>
        <w:tc>
          <w:tcPr>
            <w:tcW w:type="dxa" w:w="60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Der im Kundenkonto oder in der Leistungsvereinbarung benannte Datenschutz- oder Vertragskontakt; hilfsweise die vertretungsberechtigten beziehungsweise administrativen Kontakte.</w:t>
            </w:r>
          </w:p>
        </w:tc>
      </w:tr>
      <w:tr>
        <w:tc>
          <w:tcPr>
            <w:tcW w:type="dxa" w:w="33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Weisungsempfänger Auftragnehmer</w:t>
            </w:r>
          </w:p>
        </w:tc>
        <w:tc>
          <w:tcPr>
            <w:tcW w:type="dxa" w:w="60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Franco Consulting GmbH / Vantero, kontakt@franco-consulting.com</w:t>
            </w:r>
          </w:p>
        </w:tc>
      </w:tr>
      <w:tr>
        <w:tc>
          <w:tcPr>
            <w:tcW w:type="dxa" w:w="33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Datenschutzkontakt Auftragnehmer</w:t>
            </w:r>
          </w:p>
        </w:tc>
        <w:tc>
          <w:tcPr>
            <w:tcW w:type="dxa" w:w="60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kontakt@franco-consulting.com</w:t>
            </w:r>
          </w:p>
        </w:tc>
      </w:tr>
      <w:tr>
        <w:tc>
          <w:tcPr>
            <w:tcW w:type="dxa" w:w="33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Sicherheits- und Incident-Meldungen</w:t>
            </w:r>
          </w:p>
        </w:tc>
        <w:tc>
          <w:tcPr>
            <w:tcW w:type="dxa" w:w="60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support@vantero.chat; Betreff „Datenschutz-/Sicherheitsvorfall“</w:t>
            </w:r>
          </w:p>
        </w:tc>
      </w:tr>
      <w:tr>
        <w:tc>
          <w:tcPr>
            <w:tcW w:type="dxa" w:w="33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Anschrift für formelle Mitteilungen</w:t>
            </w:r>
          </w:p>
        </w:tc>
        <w:tc>
          <w:tcPr>
            <w:tcW w:type="dxa" w:w="60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Franco Consulting GmbH, Maria-Theresia-Straße 17, 89331 Burgau, Deutschland</w:t>
            </w:r>
          </w:p>
        </w:tc>
      </w:tr>
    </w:tbl>
    <w:p>
      <w:pPr>
        <w:spacing w:before="160" w:after="120" w:line="264" w:lineRule="auto"/>
      </w:pPr>
      <w:r>
        <w:rPr>
          <w:rFonts w:ascii="Lato Light" w:hAnsi="Lato Light" w:eastAsia="Lato Light" w:cs="Lato Light"/>
          <w:b w:val="0"/>
          <w:i w:val="0"/>
          <w:color w:val="000000"/>
          <w:sz w:val="22"/>
        </w:rPr>
        <w:t>Kundenspezifische Weisungsberechtigte und Datenschutzkontakte können in der Leistungsvereinbarung, im Administrationsbereich oder durch spätere Mitteilung in Textform benannt und geändert werden. Bis zu einer abweichenden Benennung gelten die vertretungsberechtigten und administrativen Kontakte des Auftraggebers als weisungsberechtigt.</w:t>
      </w:r>
    </w:p>
    <w:p>
      <w:r>
        <w:br w:type="page"/>
      </w:r>
    </w:p>
    <w:p>
      <w:pPr>
        <w:pStyle w:val="Heading2"/>
        <w:keepNext/>
      </w:pPr>
      <w:r>
        <w:t>Elektronische Zuordnungsangaben</w:t>
      </w:r>
    </w:p>
    <w:tbl>
      <w:tblPr>
        <w:tblW w:type="dxa" w:w="9360"/>
        <w:tblLayout w:type="fixed"/>
        <w:tblLook w:firstColumn="1" w:firstRow="1" w:lastColumn="0" w:lastRow="0" w:noHBand="0" w:noVBand="1" w:val="04A0"/>
        <w:jc w:val="left"/>
        <w:tblInd w:w="120"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3300"/>
        <w:gridCol w:w="6060"/>
      </w:tblGrid>
      <w:tr>
        <w:trPr>
          <w:tblHeader w:val="true"/>
        </w:trPr>
        <w:tc>
          <w:tcPr>
            <w:tcW w:type="dxa" w:w="3300"/>
            <w:tcMar>
              <w:top w:w="90" w:type="dxa"/>
              <w:start w:w="120" w:type="dxa"/>
              <w:bottom w:w="90" w:type="dxa"/>
              <w:end w:w="120" w:type="dxa"/>
            </w:tcMar>
            <w:vAlign w:val="center"/>
            <w:shd w:fill="F2F2F2"/>
          </w:tcPr>
          <w:p>
            <w:pPr>
              <w:spacing w:before="0" w:after="0" w:line="259" w:lineRule="auto"/>
              <w:jc w:val="left"/>
            </w:pPr>
            <w:r>
              <w:rPr>
                <w:rFonts w:ascii="Lato Light" w:hAnsi="Lato Light" w:eastAsia="Lato Light" w:cs="Lato Light"/>
                <w:b/>
                <w:color w:val="000000"/>
                <w:sz w:val="22"/>
              </w:rPr>
              <w:t>Feld</w:t>
            </w:r>
          </w:p>
        </w:tc>
        <w:tc>
          <w:tcPr>
            <w:tcW w:type="dxa" w:w="6060"/>
            <w:tcMar>
              <w:top w:w="90" w:type="dxa"/>
              <w:start w:w="120" w:type="dxa"/>
              <w:bottom w:w="90" w:type="dxa"/>
              <w:end w:w="120" w:type="dxa"/>
            </w:tcMar>
            <w:vAlign w:val="center"/>
            <w:shd w:fill="F2F2F2"/>
          </w:tcPr>
          <w:p>
            <w:pPr>
              <w:spacing w:before="0" w:after="0" w:line="259" w:lineRule="auto"/>
              <w:jc w:val="left"/>
            </w:pPr>
            <w:r>
              <w:rPr>
                <w:rFonts w:ascii="Lato Light" w:hAnsi="Lato Light" w:eastAsia="Lato Light" w:cs="Lato Light"/>
                <w:b/>
                <w:color w:val="000000"/>
                <w:sz w:val="22"/>
              </w:rPr>
              <w:t>Zuordnungsregel</w:t>
            </w:r>
          </w:p>
        </w:tc>
      </w:tr>
      <w:tr>
        <w:tc>
          <w:tcPr>
            <w:tcW w:type="dxa" w:w="33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Leistungsvereinbarung</w:t>
            </w:r>
          </w:p>
        </w:tc>
        <w:tc>
          <w:tcPr>
            <w:tcW w:type="dxa" w:w="60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Elektronischer Nutzungs-, Unternehmens-, Angebots- oder Bestellvertrag für Vantero; konkrete Referenz gemäß Kundenkonto und Bestellnachweis.</w:t>
            </w:r>
          </w:p>
        </w:tc>
      </w:tr>
      <w:tr>
        <w:tc>
          <w:tcPr>
            <w:tcW w:type="dxa" w:w="33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Vertragsbeginn</w:t>
            </w:r>
          </w:p>
        </w:tc>
        <w:tc>
          <w:tcPr>
            <w:tcW w:type="dxa" w:w="60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Zeitpunkt der Einbeziehung in die Leistungsvereinbarung oder der ausdrücklichen elektronischen Annahme; die angenommene Version und der Zeitpunkt werden dem Kunden- oder Vertragsnachweis zugeordnet.</w:t>
            </w:r>
          </w:p>
        </w:tc>
      </w:tr>
      <w:tr>
        <w:tc>
          <w:tcPr>
            <w:tcW w:type="dxa" w:w="33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Besonderer Schutzbedarf / Zusatzweisungen</w:t>
            </w:r>
          </w:p>
        </w:tc>
        <w:tc>
          <w:tcPr>
            <w:tcW w:type="dxa" w:w="60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Nur bei gesonderter Vereinbarung in Textform; ohne solche Vereinbarung gilt das in Anlage 1 beschriebene Standardschutzprofil.</w:t>
            </w:r>
          </w:p>
        </w:tc>
      </w:tr>
      <w:tr>
        <w:tc>
          <w:tcPr>
            <w:tcW w:type="dxa" w:w="330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color w:val="000000"/>
                <w:sz w:val="22"/>
              </w:rPr>
              <w:t>Deaktivierte Anbieter oder Funktionen</w:t>
            </w:r>
          </w:p>
        </w:tc>
        <w:tc>
          <w:tcPr>
            <w:tcW w:type="dxa" w:w="6060"/>
            <w:tcMar>
              <w:top w:w="90" w:type="dxa"/>
              <w:start w:w="120" w:type="dxa"/>
              <w:bottom w:w="90" w:type="dxa"/>
              <w:end w:w="120" w:type="dxa"/>
            </w:tcMar>
            <w:vAlign w:val="center"/>
          </w:tcPr>
          <w:p>
            <w:pPr>
              <w:spacing w:before="0" w:after="0" w:line="259" w:lineRule="auto"/>
              <w:jc w:val="left"/>
            </w:pPr>
            <w:r>
              <w:rPr>
                <w:rFonts w:ascii="Lato Light" w:hAnsi="Lato Light" w:eastAsia="Lato Light" w:cs="Lato Light"/>
                <w:b w:val="0"/>
                <w:color w:val="000000"/>
                <w:sz w:val="22"/>
              </w:rPr>
              <w:t>Ergeben sich aus der Workspace-/Administrationskonfiguration und dokumentierten Weisungen des Auftraggebers.</w:t>
            </w:r>
          </w:p>
        </w:tc>
      </w:tr>
    </w:tbl>
    <w:sectPr w:rsidR="00FC693F" w:rsidRPr="0006063C" w:rsidSect="00034616">
      <w:headerReference w:type="default" r:id="rId9"/>
      <w:footerReference w:type="default" r:id="rId10"/>
      <w:headerReference w:type="first" r:id="rId11"/>
      <w:footerReference w:type="first" r:id="rId12"/>
      <w:headerReference w:type="even" r:id="rId13"/>
      <w:footerReference w:type="even" r:id="rId14"/>
      <w:pgSz w:w="11906" w:h="16838"/>
      <w:pgMar w:top="1134" w:right="1134" w:bottom="1134" w:left="1134"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ato Light">
    <w:altName w:val="Lato"/>
    <w:panose1 w:val="020F0302020204030203"/>
    <w:charset w:val="00"/>
    <w:family w:val="swiss"/>
    <w:pitch w:val="variable"/>
    <w:sig w:usb0="E00002FF" w:usb1="4000ACFF" w:usb2="00000001"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80"/>
      <w:jc w:val="center"/>
    </w:pPr>
    <w:r>
      <w:rPr>
        <w:rFonts w:ascii="Lato Light" w:hAnsi="Lato Light" w:eastAsia="Lato Light" w:cs="Lato Light"/>
        <w:color w:val="000000"/>
        <w:sz w:val="16"/>
      </w:rPr>
      <w:t xml:space="preserve">Franco Consulting GmbH | Vantero | Vertraulich | Seite </w:t>
    </w:r>
    <w:r>
      <w:rPr>
        <w:rFonts w:ascii="Lato Light" w:hAnsi="Lato Light" w:eastAsia="Lato Light" w:cs="Lato Light"/>
        <w:color w:val="000000"/>
        <w:sz w:val="17"/>
      </w:rPr>
      <w:fldChar w:fldCharType="begin"/>
      <w:instrText xml:space="preserve"> PAGE </w:instrText>
      <w:fldChar w:fldCharType="separate"/>
      <w:t>1</w:t>
      <w:fldChar w:fldCharType="end"/>
    </w:r>
    <w:r>
      <w:rPr>
        <w:rFonts w:ascii="Lato Light" w:hAnsi="Lato Light" w:eastAsia="Lato Light" w:cs="Lato Light"/>
        <w:color w:val="000000"/>
        <w:sz w:val="16"/>
      </w:rPr>
      <w:t xml:space="preserve"> von </w:t>
    </w:r>
    <w:r>
      <w:rPr>
        <w:rFonts w:ascii="Lato Light" w:hAnsi="Lato Light" w:eastAsia="Lato Light" w:cs="Lato Light"/>
        <w:color w:val="000000"/>
        <w:sz w:val="17"/>
      </w:rPr>
      <w:fldChar w:fldCharType="begin"/>
      <w:instrText xml:space="preserve"> NUMPAGES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80"/>
      <w:jc w:val="left"/>
      <w:pBdr>
        <w:bottom w:val="single" w:sz="6" w:space="3" w:color="BFBFBF"/>
      </w:pBdr>
    </w:pPr>
    <w:r>
      <w:rPr>
        <w:rFonts w:ascii="Lato Light" w:hAnsi="Lato Light" w:eastAsia="Lato Light" w:cs="Lato Light"/>
        <w:b/>
        <w:color w:val="000000"/>
        <w:sz w:val="16"/>
      </w:rPr>
      <w:t>VANTERO | VEREINBARUNG ZUR AUFTRAGSVERARBEITUNG</w:t>
    </w:r>
    <w:r>
      <w:rPr>
        <w:rFonts w:ascii="Lato Light" w:hAnsi="Lato Light" w:eastAsia="Lato Light" w:cs="Lato Light"/>
        <w:b/>
        <w:color w:val="000000"/>
        <w:sz w:val="16"/>
      </w:rPr>
      <w:t xml:space="preserve">    VERSION 1.2 | STAND 04.09.2026</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720"/>
        </w:tabs>
        <w:ind w:left="720" w:hanging="360"/>
        <w:spacing w:after="100" w:line="280" w:lineRule="auto"/>
      </w:pPr>
      <w:rPr>
        <w:rFonts w:ascii="Lato Light" w:hAnsi="Lato Light" w:eastAsia="Lato Light" w:cs="Lato Light"/>
      </w:rPr>
    </w:lvl>
  </w:abstractNum>
  <w:num w:numId="10">
    <w:abstractNumId w:val="9"/>
  </w:num>
  <w:abstractNum w:abstractNumId="10">
    <w:multiLevelType w:val="singleLevel"/>
    <w:lvl w:ilvl="0">
      <w:start w:val="1"/>
      <w:numFmt w:val="decimal"/>
      <w:lvlText w:val="(%1)"/>
      <w:suff w:val="tab"/>
      <w:pPr>
        <w:tabs>
          <w:tab w:val="num" w:pos="720"/>
        </w:tabs>
        <w:ind w:left="720" w:hanging="360"/>
        <w:spacing w:after="100" w:line="280" w:lineRule="auto"/>
      </w:pPr>
    </w:lvl>
  </w:abstractNum>
  <w:num w:numId="11">
    <w:abstractNumId w:val="10"/>
  </w:num>
  <w:abstractNum w:abstractNumId="11">
    <w:multiLevelType w:val="singleLevel"/>
    <w:lvl w:ilvl="0">
      <w:start w:val="1"/>
      <w:numFmt w:val="decimal"/>
      <w:lvlText w:val="(%1)"/>
      <w:suff w:val="tab"/>
      <w:pPr>
        <w:tabs>
          <w:tab w:val="num" w:pos="720"/>
        </w:tabs>
        <w:ind w:left="720" w:hanging="360"/>
        <w:spacing w:after="100" w:line="280" w:lineRule="auto"/>
      </w:pPr>
    </w:lvl>
  </w:abstractNum>
  <w:num w:numId="12">
    <w:abstractNumId w:val="11"/>
  </w:num>
  <w:abstractNum w:abstractNumId="12">
    <w:multiLevelType w:val="singleLevel"/>
    <w:lvl w:ilvl="0">
      <w:start w:val="1"/>
      <w:numFmt w:val="decimal"/>
      <w:lvlText w:val="(%1)"/>
      <w:suff w:val="tab"/>
      <w:pPr>
        <w:tabs>
          <w:tab w:val="num" w:pos="720"/>
        </w:tabs>
        <w:ind w:left="720" w:hanging="360"/>
        <w:spacing w:after="100" w:line="280" w:lineRule="auto"/>
      </w:pPr>
    </w:lvl>
  </w:abstractNum>
  <w:num w:numId="13">
    <w:abstractNumId w:val="12"/>
  </w:num>
  <w:abstractNum w:abstractNumId="13">
    <w:multiLevelType w:val="singleLevel"/>
    <w:lvl w:ilvl="0">
      <w:start w:val="1"/>
      <w:numFmt w:val="decimal"/>
      <w:lvlText w:val="(%1)"/>
      <w:suff w:val="tab"/>
      <w:pPr>
        <w:tabs>
          <w:tab w:val="num" w:pos="720"/>
        </w:tabs>
        <w:ind w:left="720" w:hanging="360"/>
        <w:spacing w:after="100" w:line="280" w:lineRule="auto"/>
      </w:pPr>
    </w:lvl>
  </w:abstractNum>
  <w:num w:numId="14">
    <w:abstractNumId w:val="13"/>
  </w:num>
  <w:abstractNum w:abstractNumId="14">
    <w:multiLevelType w:val="singleLevel"/>
    <w:lvl w:ilvl="0">
      <w:start w:val="1"/>
      <w:numFmt w:val="decimal"/>
      <w:lvlText w:val="(%1)"/>
      <w:suff w:val="tab"/>
      <w:pPr>
        <w:tabs>
          <w:tab w:val="num" w:pos="720"/>
        </w:tabs>
        <w:ind w:left="720" w:hanging="360"/>
        <w:spacing w:after="100" w:line="280" w:lineRule="auto"/>
      </w:pPr>
    </w:lvl>
  </w:abstractNum>
  <w:num w:numId="15">
    <w:abstractNumId w:val="14"/>
  </w:num>
  <w:abstractNum w:abstractNumId="15">
    <w:multiLevelType w:val="singleLevel"/>
    <w:lvl w:ilvl="0">
      <w:start w:val="1"/>
      <w:numFmt w:val="decimal"/>
      <w:lvlText w:val="(%1)"/>
      <w:suff w:val="tab"/>
      <w:pPr>
        <w:tabs>
          <w:tab w:val="num" w:pos="720"/>
        </w:tabs>
        <w:ind w:left="720" w:hanging="360"/>
        <w:spacing w:after="100" w:line="280" w:lineRule="auto"/>
      </w:pPr>
    </w:lvl>
  </w:abstractNum>
  <w:num w:numId="16">
    <w:abstractNumId w:val="15"/>
  </w:num>
  <w:abstractNum w:abstractNumId="16">
    <w:multiLevelType w:val="singleLevel"/>
    <w:lvl w:ilvl="0">
      <w:start w:val="1"/>
      <w:numFmt w:val="decimal"/>
      <w:lvlText w:val="(%1)"/>
      <w:suff w:val="tab"/>
      <w:pPr>
        <w:tabs>
          <w:tab w:val="num" w:pos="720"/>
        </w:tabs>
        <w:ind w:left="720" w:hanging="360"/>
        <w:spacing w:after="100" w:line="280" w:lineRule="auto"/>
      </w:pPr>
    </w:lvl>
  </w:abstractNum>
  <w:num w:numId="17">
    <w:abstractNumId w:val="16"/>
  </w:num>
  <w:abstractNum w:abstractNumId="17">
    <w:multiLevelType w:val="singleLevel"/>
    <w:lvl w:ilvl="0">
      <w:start w:val="1"/>
      <w:numFmt w:val="decimal"/>
      <w:lvlText w:val="(%1)"/>
      <w:suff w:val="tab"/>
      <w:pPr>
        <w:tabs>
          <w:tab w:val="num" w:pos="720"/>
        </w:tabs>
        <w:ind w:left="720" w:hanging="360"/>
        <w:spacing w:after="100" w:line="280" w:lineRule="auto"/>
      </w:pPr>
    </w:lvl>
  </w:abstractNum>
  <w:num w:numId="18">
    <w:abstractNumId w:val="17"/>
  </w:num>
  <w:abstractNum w:abstractNumId="18">
    <w:multiLevelType w:val="singleLevel"/>
    <w:lvl w:ilvl="0">
      <w:start w:val="1"/>
      <w:numFmt w:val="decimal"/>
      <w:lvlText w:val="(%1)"/>
      <w:suff w:val="tab"/>
      <w:pPr>
        <w:tabs>
          <w:tab w:val="num" w:pos="720"/>
        </w:tabs>
        <w:ind w:left="720" w:hanging="360"/>
        <w:spacing w:after="100" w:line="280" w:lineRule="auto"/>
      </w:pPr>
    </w:lvl>
  </w:abstractNum>
  <w:num w:numId="19">
    <w:abstractNumId w:val="18"/>
  </w:num>
  <w:abstractNum w:abstractNumId="19">
    <w:multiLevelType w:val="singleLevel"/>
    <w:lvl w:ilvl="0">
      <w:start w:val="1"/>
      <w:numFmt w:val="decimal"/>
      <w:lvlText w:val="(%1)"/>
      <w:suff w:val="tab"/>
      <w:pPr>
        <w:tabs>
          <w:tab w:val="num" w:pos="720"/>
        </w:tabs>
        <w:ind w:left="720" w:hanging="360"/>
        <w:spacing w:after="100" w:line="280" w:lineRule="auto"/>
      </w:pPr>
    </w:lvl>
  </w:abstractNum>
  <w:num w:numId="20">
    <w:abstractNumId w:val="19"/>
  </w:num>
  <w:abstractNum w:abstractNumId="20">
    <w:multiLevelType w:val="singleLevel"/>
    <w:lvl w:ilvl="0">
      <w:start w:val="1"/>
      <w:numFmt w:val="decimal"/>
      <w:lvlText w:val="(%1)"/>
      <w:suff w:val="tab"/>
      <w:pPr>
        <w:tabs>
          <w:tab w:val="num" w:pos="720"/>
        </w:tabs>
        <w:ind w:left="720" w:hanging="360"/>
        <w:spacing w:after="100" w:line="280" w:lineRule="auto"/>
      </w:pPr>
    </w:lvl>
  </w:abstractNum>
  <w:num w:numId="21">
    <w:abstractNumId w:val="20"/>
  </w:num>
  <w:abstractNum w:abstractNumId="21">
    <w:multiLevelType w:val="singleLevel"/>
    <w:lvl w:ilvl="0">
      <w:start w:val="1"/>
      <w:numFmt w:val="decimal"/>
      <w:lvlText w:val="(%1)"/>
      <w:suff w:val="tab"/>
      <w:pPr>
        <w:tabs>
          <w:tab w:val="num" w:pos="720"/>
        </w:tabs>
        <w:ind w:left="720" w:hanging="360"/>
        <w:spacing w:after="100" w:line="280" w:lineRule="auto"/>
      </w:pPr>
    </w:lvl>
  </w:abstractNum>
  <w:num w:numId="22">
    <w:abstractNumId w:val="21"/>
  </w:num>
  <w:abstractNum w:abstractNumId="22">
    <w:multiLevelType w:val="singleLevel"/>
    <w:lvl w:ilvl="0">
      <w:start w:val="1"/>
      <w:numFmt w:val="decimal"/>
      <w:lvlText w:val="(%1)"/>
      <w:suff w:val="tab"/>
      <w:pPr>
        <w:tabs>
          <w:tab w:val="num" w:pos="720"/>
        </w:tabs>
        <w:ind w:left="720" w:hanging="360"/>
        <w:spacing w:after="100" w:line="280" w:lineRule="auto"/>
      </w:pPr>
    </w:lvl>
  </w:abstractNum>
  <w:num w:numId="23">
    <w:abstractNumId w:val="22"/>
  </w:num>
  <w:abstractNum w:abstractNumId="23">
    <w:multiLevelType w:val="singleLevel"/>
    <w:lvl w:ilvl="0">
      <w:start w:val="1"/>
      <w:numFmt w:val="decimal"/>
      <w:lvlText w:val="(%1)"/>
      <w:suff w:val="tab"/>
      <w:pPr>
        <w:tabs>
          <w:tab w:val="num" w:pos="720"/>
        </w:tabs>
        <w:ind w:left="720" w:hanging="360"/>
        <w:spacing w:after="100" w:line="280" w:lineRule="auto"/>
      </w:pPr>
    </w:lvl>
  </w:abstract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ato Light" w:hAnsi="Lato Light" w:eastAsia="Lato Light" w:cs="Lato Light"/>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Lato Light" w:hAnsi="Lato Light" w:eastAsia="Lato Light" w:cs="Lato Light"/>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Lato Light" w:hAnsi="Lato Light" w:eastAsia="Lato Light" w:cs="Lato Light"/>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Lato Light" w:hAnsi="Lato Light" w:eastAsia="Lato Light" w:cs="Lato Light"/>
      <w:b/>
      <w:bCs/>
      <w:color w:val="000000"/>
      <w:sz w:val="24"/>
      <w:szCs w:val="24"/>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Lato Light" w:hAnsi="Lato Light" w:eastAsia="Lato Light" w:cs="Lato Light"/>
      <w:b/>
      <w:bCs/>
      <w:color w:val="000000"/>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Lato Light" w:hAnsi="Lato Light" w:eastAsia="Lato Light" w:cs="Lato Light"/>
      <w:b/>
      <w:bCs/>
      <w:i/>
      <w:iCs/>
      <w:color w:val="000000"/>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Lato Light" w:hAnsi="Lato Light" w:eastAsia="Lato Light" w:cs="Lato Light"/>
      <w:color w:val="000000"/>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Lato Light" w:hAnsi="Lato Light" w:eastAsia="Lato Light" w:cs="Lato Light"/>
      <w:i/>
      <w:iCs/>
      <w:color w:val="00000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Lato Light" w:hAnsi="Lato Light" w:eastAsia="Lato Light" w:cs="Lato Light"/>
      <w:i/>
      <w:iCs/>
      <w:color w:val="000000"/>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Lato Light" w:hAnsi="Lato Light" w:eastAsia="Lato Light" w:cs="Lato Light"/>
      <w:color w:val="000000"/>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Lato Light" w:hAnsi="Lato Light" w:eastAsia="Lato Light" w:cs="Lato Light"/>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Lato Light" w:hAnsi="Lato Light" w:eastAsia="Lato Light" w:cs="Lato Light"/>
      <w:b/>
      <w:bCs/>
      <w:color w:val="000000"/>
      <w:sz w:val="28"/>
      <w:szCs w:val="28"/>
    </w:rPr>
  </w:style>
  <w:style w:type="character" w:customStyle="1" w:styleId="Heading2Char">
    <w:name w:val="Heading 2 Char"/>
    <w:basedOn w:val="DefaultParagraphFont"/>
    <w:link w:val="Heading2"/>
    <w:uiPriority w:val="9"/>
    <w:rsid w:val="00FC693F"/>
    <w:rPr>
      <w:rFonts w:ascii="Lato Light" w:hAnsi="Lato Light" w:eastAsia="Lato Light" w:cs="Lato Light"/>
      <w:b/>
      <w:bCs/>
      <w:color w:val="000000"/>
      <w:sz w:val="24"/>
      <w:szCs w:val="24"/>
    </w:rPr>
  </w:style>
  <w:style w:type="character" w:customStyle="1" w:styleId="Heading3Char">
    <w:name w:val="Heading 3 Char"/>
    <w:basedOn w:val="DefaultParagraphFont"/>
    <w:link w:val="Heading3"/>
    <w:uiPriority w:val="9"/>
    <w:rsid w:val="00FC693F"/>
    <w:rPr>
      <w:rFonts w:ascii="Lato Light" w:hAnsi="Lato Light" w:eastAsia="Lato Light" w:cs="Lato Light"/>
      <w:b/>
      <w:bCs/>
      <w:color w:val="000000"/>
    </w:rPr>
  </w:style>
  <w:style w:type="paragraph" w:styleId="Title">
    <w:name w:val="Title"/>
    <w:basedOn w:val="Normal"/>
    <w:next w:val="Normal"/>
    <w:link w:val="TitleChar"/>
    <w:uiPriority w:val="10"/>
    <w:qFormat/>
    <w:rsid w:val="00FC693F"/>
    <w:pPr>
      <w:pBdr>
        <w:bottom w:val="single" w:sz="8" w:space="4" w:color="4F81BD"/>
      </w:pBdr>
      <w:spacing w:after="300" w:line="240" w:lineRule="auto"/>
      <w:contextualSpacing/>
    </w:pPr>
    <w:rPr>
      <w:rFonts w:ascii="Lato Light" w:hAnsi="Lato Light" w:eastAsia="Lato Light" w:cs="Lato Light"/>
      <w:color w:val="000000"/>
      <w:spacing w:val="5"/>
      <w:kern w:val="28"/>
      <w:sz w:val="52"/>
      <w:szCs w:val="52"/>
    </w:rPr>
  </w:style>
  <w:style w:type="character" w:customStyle="1" w:styleId="TitleChar">
    <w:name w:val="Title Char"/>
    <w:basedOn w:val="DefaultParagraphFont"/>
    <w:link w:val="Title"/>
    <w:uiPriority w:val="10"/>
    <w:rsid w:val="00FC693F"/>
    <w:rPr>
      <w:rFonts w:ascii="Lato Light" w:hAnsi="Lato Light" w:eastAsia="Lato Light" w:cs="Lato Light"/>
      <w:color w:val="000000"/>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Lato Light" w:hAnsi="Lato Light" w:eastAsia="Lato Light" w:cs="Lato Light"/>
      <w:i/>
      <w:iCs/>
      <w:color w:val="000000"/>
      <w:spacing w:val="15"/>
      <w:sz w:val="24"/>
      <w:szCs w:val="24"/>
    </w:rPr>
  </w:style>
  <w:style w:type="character" w:customStyle="1" w:styleId="SubtitleChar">
    <w:name w:val="Subtitle Char"/>
    <w:basedOn w:val="DefaultParagraphFont"/>
    <w:link w:val="Subtitle"/>
    <w:uiPriority w:val="11"/>
    <w:rsid w:val="00FC693F"/>
    <w:rPr>
      <w:rFonts w:ascii="Lato Light" w:hAnsi="Lato Light" w:eastAsia="Lato Light" w:cs="Lato Light"/>
      <w:i/>
      <w:iCs/>
      <w:color w:val="000000"/>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Lato Light" w:hAnsi="Lato Light" w:eastAsia="Lato Light" w:cs="Lato Light"/>
      <w:sz w:val="20"/>
      <w:szCs w:val="20"/>
    </w:rPr>
  </w:style>
  <w:style w:type="character" w:customStyle="1" w:styleId="MacroTextChar">
    <w:name w:val="Macro Text Char"/>
    <w:basedOn w:val="DefaultParagraphFont"/>
    <w:link w:val="MacroText"/>
    <w:uiPriority w:val="99"/>
    <w:rsid w:val="0029639D"/>
    <w:rPr>
      <w:rFonts w:ascii="Lato Light" w:hAnsi="Lato Light" w:eastAsia="Lato Light" w:cs="Lato Light"/>
      <w:sz w:val="20"/>
      <w:szCs w:val="20"/>
    </w:rPr>
  </w:style>
  <w:style w:type="paragraph" w:styleId="Quote">
    <w:name w:val="Quote"/>
    <w:basedOn w:val="Normal"/>
    <w:next w:val="Normal"/>
    <w:link w:val="QuoteChar"/>
    <w:uiPriority w:val="29"/>
    <w:qFormat/>
    <w:rsid w:val="00FC693F"/>
    <w:rPr>
      <w:i/>
      <w:iCs/>
      <w:color w:val="000000"/>
    </w:rPr>
  </w:style>
  <w:style w:type="character" w:customStyle="1" w:styleId="QuoteChar">
    <w:name w:val="Quote Char"/>
    <w:basedOn w:val="DefaultParagraphFont"/>
    <w:link w:val="Quote"/>
    <w:uiPriority w:val="29"/>
    <w:rsid w:val="00FC693F"/>
    <w:rPr>
      <w:i/>
      <w:iCs/>
      <w:color w:val="000000"/>
    </w:rPr>
  </w:style>
  <w:style w:type="character" w:customStyle="1" w:styleId="Heading4Char">
    <w:name w:val="Heading 4 Char"/>
    <w:basedOn w:val="DefaultParagraphFont"/>
    <w:link w:val="Heading4"/>
    <w:uiPriority w:val="9"/>
    <w:semiHidden/>
    <w:rsid w:val="00FC693F"/>
    <w:rPr>
      <w:rFonts w:ascii="Lato Light" w:hAnsi="Lato Light" w:eastAsia="Lato Light" w:cs="Lato Light"/>
      <w:b/>
      <w:bCs/>
      <w:i/>
      <w:iCs/>
      <w:color w:val="000000"/>
    </w:rPr>
  </w:style>
  <w:style w:type="character" w:customStyle="1" w:styleId="Heading5Char">
    <w:name w:val="Heading 5 Char"/>
    <w:basedOn w:val="DefaultParagraphFont"/>
    <w:link w:val="Heading5"/>
    <w:uiPriority w:val="9"/>
    <w:semiHidden/>
    <w:rsid w:val="00FC693F"/>
    <w:rPr>
      <w:rFonts w:ascii="Lato Light" w:hAnsi="Lato Light" w:eastAsia="Lato Light" w:cs="Lato Light"/>
      <w:color w:val="000000"/>
    </w:rPr>
  </w:style>
  <w:style w:type="character" w:customStyle="1" w:styleId="Heading6Char">
    <w:name w:val="Heading 6 Char"/>
    <w:basedOn w:val="DefaultParagraphFont"/>
    <w:link w:val="Heading6"/>
    <w:uiPriority w:val="9"/>
    <w:semiHidden/>
    <w:rsid w:val="00FC693F"/>
    <w:rPr>
      <w:rFonts w:ascii="Lato Light" w:hAnsi="Lato Light" w:eastAsia="Lato Light" w:cs="Lato Light"/>
      <w:i/>
      <w:iCs/>
      <w:color w:val="000000"/>
    </w:rPr>
  </w:style>
  <w:style w:type="character" w:customStyle="1" w:styleId="Heading7Char">
    <w:name w:val="Heading 7 Char"/>
    <w:basedOn w:val="DefaultParagraphFont"/>
    <w:link w:val="Heading7"/>
    <w:uiPriority w:val="9"/>
    <w:semiHidden/>
    <w:rsid w:val="00FC693F"/>
    <w:rPr>
      <w:rFonts w:ascii="Lato Light" w:hAnsi="Lato Light" w:eastAsia="Lato Light" w:cs="Lato Light"/>
      <w:i/>
      <w:iCs/>
      <w:color w:val="000000"/>
    </w:rPr>
  </w:style>
  <w:style w:type="character" w:customStyle="1" w:styleId="Heading8Char">
    <w:name w:val="Heading 8 Char"/>
    <w:basedOn w:val="DefaultParagraphFont"/>
    <w:link w:val="Heading8"/>
    <w:uiPriority w:val="9"/>
    <w:semiHidden/>
    <w:rsid w:val="00FC693F"/>
    <w:rPr>
      <w:rFonts w:ascii="Lato Light" w:hAnsi="Lato Light" w:eastAsia="Lato Light" w:cs="Lato Light"/>
      <w:color w:val="000000"/>
      <w:sz w:val="20"/>
      <w:szCs w:val="20"/>
    </w:rPr>
  </w:style>
  <w:style w:type="character" w:customStyle="1" w:styleId="Heading9Char">
    <w:name w:val="Heading 9 Char"/>
    <w:basedOn w:val="DefaultParagraphFont"/>
    <w:link w:val="Heading9"/>
    <w:uiPriority w:val="9"/>
    <w:semiHidden/>
    <w:rsid w:val="00FC693F"/>
    <w:rPr>
      <w:rFonts w:ascii="Lato Light" w:hAnsi="Lato Light" w:eastAsia="Lato Light" w:cs="Lato Light"/>
      <w:i/>
      <w:iCs/>
      <w:color w:val="000000"/>
      <w:sz w:val="20"/>
      <w:szCs w:val="20"/>
    </w:rPr>
  </w:style>
  <w:style w:type="paragraph" w:styleId="Caption">
    <w:name w:val="caption"/>
    <w:basedOn w:val="Normal"/>
    <w:next w:val="Normal"/>
    <w:uiPriority w:val="35"/>
    <w:semiHidden/>
    <w:unhideWhenUsed/>
    <w:qFormat/>
    <w:rsid w:val="00FC693F"/>
    <w:pPr>
      <w:spacing w:line="240" w:lineRule="auto"/>
    </w:pPr>
    <w:rPr>
      <w:b/>
      <w:bCs/>
      <w:color w:val="000000"/>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pBdr>
      <w:spacing w:before="200" w:after="280"/>
      <w:ind w:left="936" w:right="936"/>
    </w:pPr>
    <w:rPr>
      <w:b/>
      <w:bCs/>
      <w:i/>
      <w:iCs/>
      <w:color w:val="000000"/>
    </w:rPr>
  </w:style>
  <w:style w:type="character" w:customStyle="1" w:styleId="IntenseQuoteChar">
    <w:name w:val="Intense Quote Char"/>
    <w:basedOn w:val="DefaultParagraphFont"/>
    <w:link w:val="IntenseQuote"/>
    <w:uiPriority w:val="30"/>
    <w:rsid w:val="00FC693F"/>
    <w:rPr>
      <w:b/>
      <w:bCs/>
      <w:i/>
      <w:iCs/>
      <w:color w:val="000000"/>
    </w:rPr>
  </w:style>
  <w:style w:type="character" w:styleId="SubtleEmphasis">
    <w:name w:val="Subtle Emphasis"/>
    <w:basedOn w:val="DefaultParagraphFont"/>
    <w:uiPriority w:val="19"/>
    <w:qFormat/>
    <w:rsid w:val="00FC693F"/>
    <w:rPr>
      <w:i/>
      <w:iCs/>
      <w:color w:val="000000"/>
    </w:rPr>
  </w:style>
  <w:style w:type="character" w:styleId="IntenseEmphasis">
    <w:name w:val="Intense Emphasis"/>
    <w:basedOn w:val="DefaultParagraphFont"/>
    <w:uiPriority w:val="21"/>
    <w:qFormat/>
    <w:rsid w:val="00FC693F"/>
    <w:rPr>
      <w:b/>
      <w:bCs/>
      <w:i/>
      <w:iCs/>
      <w:color w:val="000000"/>
    </w:rPr>
  </w:style>
  <w:style w:type="character" w:styleId="SubtleReference">
    <w:name w:val="Subtle Reference"/>
    <w:basedOn w:val="DefaultParagraphFont"/>
    <w:uiPriority w:val="31"/>
    <w:qFormat/>
    <w:rsid w:val="00FC693F"/>
    <w:rPr>
      <w:smallCaps/>
      <w:color w:val="000000"/>
      <w:u w:val="single"/>
    </w:rPr>
  </w:style>
  <w:style w:type="character" w:styleId="IntenseReference">
    <w:name w:val="Intense Reference"/>
    <w:basedOn w:val="DefaultParagraphFont"/>
    <w:uiPriority w:val="32"/>
    <w:qFormat/>
    <w:rsid w:val="00FC693F"/>
    <w:rPr>
      <w:b/>
      <w:bCs/>
      <w:smallCaps/>
      <w:color w:val="000000"/>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000000"/>
      </w:rPr>
      <w:tblPr/>
      <w:tcPr>
        <w:shd w:val="clear" w:color="auto" w:fill="000000" w:themeFill="text1"/>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000000"/>
      </w:rPr>
      <w:tblPr/>
      <w:tcPr>
        <w:shd w:val="clear" w:color="auto" w:fill="4F81BD" w:themeFill="accent1"/>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000000"/>
      </w:rPr>
      <w:tblPr/>
      <w:tcPr>
        <w:shd w:val="clear" w:color="auto" w:fill="C0504D" w:themeFill="accent2"/>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000000"/>
      </w:rPr>
      <w:tblPr/>
      <w:tcPr>
        <w:shd w:val="clear" w:color="auto" w:fill="9BBB59" w:themeFill="accent3"/>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000000"/>
      </w:rPr>
      <w:tblPr/>
      <w:tcPr>
        <w:shd w:val="clear" w:color="auto" w:fill="8064A2" w:themeFill="accent4"/>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000000"/>
      </w:rPr>
      <w:tblPr/>
      <w:tcPr>
        <w:shd w:val="clear" w:color="auto" w:fill="4BACC6" w:themeFill="accent5"/>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000000"/>
      </w:rPr>
      <w:tblPr/>
      <w:tcPr>
        <w:shd w:val="clear" w:color="auto" w:fill="F79646" w:themeFill="accent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Lato Light" w:hAnsi="Lato Light" w:eastAsia="Lato Light" w:cs="Lato Ligh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Lato Light" w:hAnsi="Lato Light" w:eastAsia="Lato Light" w:cs="Lato Ligh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ato Light" w:hAnsi="Lato Light" w:eastAsia="Lato Light" w:cs="Lato Light"/>
        <w:b/>
        <w:bCs/>
      </w:rPr>
    </w:tblStylePr>
    <w:tblStylePr w:type="lastCol">
      <w:rPr>
        <w:rFonts w:ascii="Lato Light" w:hAnsi="Lato Light" w:eastAsia="Lato Light" w:cs="Lato Ligh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hemeFill="text1" w:themeFillTint="3F"/>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hemeFill="text1" w:themeFillTint="3F"/>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Lato Light" w:hAnsi="Lato Light" w:eastAsia="Lato Light" w:cs="Lato Ligh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Lato Light" w:hAnsi="Lato Light" w:eastAsia="Lato Light" w:cs="Lato Ligh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ato Light" w:hAnsi="Lato Light" w:eastAsia="Lato Light" w:cs="Lato Light"/>
        <w:b/>
        <w:bCs/>
      </w:rPr>
    </w:tblStylePr>
    <w:tblStylePr w:type="lastCol">
      <w:rPr>
        <w:rFonts w:ascii="Lato Light" w:hAnsi="Lato Light" w:eastAsia="Lato Light" w:cs="Lato Ligh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hemeFill="accent1" w:themeFillTint="3F"/>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hemeFill="accent1" w:themeFillTint="3F"/>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Lato Light" w:hAnsi="Lato Light" w:eastAsia="Lato Light" w:cs="Lato Ligh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Lato Light" w:hAnsi="Lato Light" w:eastAsia="Lato Light" w:cs="Lato Ligh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Lato Light" w:hAnsi="Lato Light" w:eastAsia="Lato Light" w:cs="Lato Light"/>
        <w:b/>
        <w:bCs/>
      </w:rPr>
    </w:tblStylePr>
    <w:tblStylePr w:type="lastCol">
      <w:rPr>
        <w:rFonts w:ascii="Lato Light" w:hAnsi="Lato Light" w:eastAsia="Lato Light" w:cs="Lato Ligh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hemeFill="accent2" w:themeFillTint="3F"/>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hemeFill="accent2" w:themeFillTint="3F"/>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Lato Light" w:hAnsi="Lato Light" w:eastAsia="Lato Light" w:cs="Lato Ligh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Lato Light" w:hAnsi="Lato Light" w:eastAsia="Lato Light" w:cs="Lato Ligh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Lato Light" w:hAnsi="Lato Light" w:eastAsia="Lato Light" w:cs="Lato Light"/>
        <w:b/>
        <w:bCs/>
      </w:rPr>
    </w:tblStylePr>
    <w:tblStylePr w:type="lastCol">
      <w:rPr>
        <w:rFonts w:ascii="Lato Light" w:hAnsi="Lato Light" w:eastAsia="Lato Light" w:cs="Lato Ligh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hemeFill="accent3" w:themeFillTint="3F"/>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hemeFill="accent3" w:themeFillTint="3F"/>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Lato Light" w:hAnsi="Lato Light" w:eastAsia="Lato Light" w:cs="Lato Ligh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Lato Light" w:hAnsi="Lato Light" w:eastAsia="Lato Light" w:cs="Lato Ligh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Lato Light" w:hAnsi="Lato Light" w:eastAsia="Lato Light" w:cs="Lato Light"/>
        <w:b/>
        <w:bCs/>
      </w:rPr>
    </w:tblStylePr>
    <w:tblStylePr w:type="lastCol">
      <w:rPr>
        <w:rFonts w:ascii="Lato Light" w:hAnsi="Lato Light" w:eastAsia="Lato Light" w:cs="Lato Ligh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hemeFill="accent4" w:themeFillTint="3F"/>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hemeFill="accent4" w:themeFillTint="3F"/>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Lato Light" w:hAnsi="Lato Light" w:eastAsia="Lato Light" w:cs="Lato Ligh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Lato Light" w:hAnsi="Lato Light" w:eastAsia="Lato Light" w:cs="Lato Ligh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Lato Light" w:hAnsi="Lato Light" w:eastAsia="Lato Light" w:cs="Lato Light"/>
        <w:b/>
        <w:bCs/>
      </w:rPr>
    </w:tblStylePr>
    <w:tblStylePr w:type="lastCol">
      <w:rPr>
        <w:rFonts w:ascii="Lato Light" w:hAnsi="Lato Light" w:eastAsia="Lato Light" w:cs="Lato Ligh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hemeFill="accent5" w:themeFillTint="3F"/>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hemeFill="accent5" w:themeFillTint="3F"/>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Lato Light" w:hAnsi="Lato Light" w:eastAsia="Lato Light" w:cs="Lato Ligh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Lato Light" w:hAnsi="Lato Light" w:eastAsia="Lato Light" w:cs="Lato Ligh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Lato Light" w:hAnsi="Lato Light" w:eastAsia="Lato Light" w:cs="Lato Light"/>
        <w:b/>
        <w:bCs/>
      </w:rPr>
    </w:tblStylePr>
    <w:tblStylePr w:type="lastCol">
      <w:rPr>
        <w:rFonts w:ascii="Lato Light" w:hAnsi="Lato Light" w:eastAsia="Lato Light" w:cs="Lato Ligh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hemeFill="accent6" w:themeFillTint="3F"/>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hemeFill="accent6" w:themeFillTint="3F"/>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0000"/>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000000"/>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000000"/>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000000"/>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000000"/>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000000"/>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000000"/>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Lato Light" w:hAnsi="Lato Light" w:eastAsia="Lato Light" w:cs="Lato Light"/>
      </w:rPr>
      <w:tblPr/>
      <w:tcPr>
        <w:tcBorders>
          <w:top w:val="nil"/>
          <w:bottom w:val="single" w:sz="8" w:space="0" w:color="000000"/>
        </w:tcBorders>
      </w:tcPr>
    </w:tblStylePr>
    <w:tblStylePr w:type="lastRow">
      <w:rPr>
        <w:b/>
        <w:bCs/>
        <w:color w:val="000000"/>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Lato Light" w:hAnsi="Lato Light" w:eastAsia="Lato Light" w:cs="Lato Light"/>
      </w:rPr>
      <w:tblPr/>
      <w:tcPr>
        <w:tcBorders>
          <w:top w:val="nil"/>
          <w:bottom w:val="single" w:sz="8" w:space="0" w:color="4F81BD"/>
        </w:tcBorders>
      </w:tcPr>
    </w:tblStylePr>
    <w:tblStylePr w:type="lastRow">
      <w:rPr>
        <w:b/>
        <w:bCs/>
        <w:color w:val="000000"/>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Lato Light" w:hAnsi="Lato Light" w:eastAsia="Lato Light" w:cs="Lato Light"/>
      </w:rPr>
      <w:tblPr/>
      <w:tcPr>
        <w:tcBorders>
          <w:top w:val="nil"/>
          <w:bottom w:val="single" w:sz="8" w:space="0" w:color="C0504D"/>
        </w:tcBorders>
      </w:tcPr>
    </w:tblStylePr>
    <w:tblStylePr w:type="lastRow">
      <w:rPr>
        <w:b/>
        <w:bCs/>
        <w:color w:val="000000"/>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Lato Light" w:hAnsi="Lato Light" w:eastAsia="Lato Light" w:cs="Lato Light"/>
      </w:rPr>
      <w:tblPr/>
      <w:tcPr>
        <w:tcBorders>
          <w:top w:val="nil"/>
          <w:bottom w:val="single" w:sz="8" w:space="0" w:color="9BBB59"/>
        </w:tcBorders>
      </w:tcPr>
    </w:tblStylePr>
    <w:tblStylePr w:type="lastRow">
      <w:rPr>
        <w:b/>
        <w:bCs/>
        <w:color w:val="000000"/>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Lato Light" w:hAnsi="Lato Light" w:eastAsia="Lato Light" w:cs="Lato Light"/>
      </w:rPr>
      <w:tblPr/>
      <w:tcPr>
        <w:tcBorders>
          <w:top w:val="nil"/>
          <w:bottom w:val="single" w:sz="8" w:space="0" w:color="8064A2"/>
        </w:tcBorders>
      </w:tcPr>
    </w:tblStylePr>
    <w:tblStylePr w:type="lastRow">
      <w:rPr>
        <w:b/>
        <w:bCs/>
        <w:color w:val="000000"/>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Lato Light" w:hAnsi="Lato Light" w:eastAsia="Lato Light" w:cs="Lato Light"/>
      </w:rPr>
      <w:tblPr/>
      <w:tcPr>
        <w:tcBorders>
          <w:top w:val="nil"/>
          <w:bottom w:val="single" w:sz="8" w:space="0" w:color="4BACC6"/>
        </w:tcBorders>
      </w:tcPr>
    </w:tblStylePr>
    <w:tblStylePr w:type="lastRow">
      <w:rPr>
        <w:b/>
        <w:bCs/>
        <w:color w:val="000000"/>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Lato Light" w:hAnsi="Lato Light" w:eastAsia="Lato Light" w:cs="Lato Light"/>
      </w:rPr>
      <w:tblPr/>
      <w:tcPr>
        <w:tcBorders>
          <w:top w:val="nil"/>
          <w:bottom w:val="single" w:sz="8" w:space="0" w:color="F79646"/>
        </w:tcBorders>
      </w:tcPr>
    </w:tblStylePr>
    <w:tblStylePr w:type="lastRow">
      <w:rPr>
        <w:b/>
        <w:bCs/>
        <w:color w:val="000000"/>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hemeFill="background1"/>
      </w:tcPr>
    </w:tblStylePr>
    <w:tblStylePr w:type="lastRow">
      <w:tblPr/>
      <w:tcPr>
        <w:tcBorders>
          <w:top w:val="single" w:sz="8" w:space="0" w:color="00000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insideH w:val="nil"/>
          <w:insideV w:val="nil"/>
        </w:tcBorders>
        <w:shd w:val="clear" w:color="auto" w:fill="FFFFFF" w:themeFill="background1"/>
      </w:tcPr>
    </w:tblStylePr>
    <w:tblStylePr w:type="lastCol">
      <w:tblPr/>
      <w:tcPr>
        <w:tcBorders>
          <w:top w:val="nil"/>
          <w:left w:val="single" w:sz="8" w:space="0" w:color="00000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hemeFill="background1"/>
      </w:tcPr>
    </w:tblStylePr>
    <w:tblStylePr w:type="lastRow">
      <w:tblPr/>
      <w:tcPr>
        <w:tcBorders>
          <w:top w:val="single" w:sz="8" w:space="0" w:color="4F81BD"/>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insideH w:val="nil"/>
          <w:insideV w:val="nil"/>
        </w:tcBorders>
        <w:shd w:val="clear" w:color="auto" w:fill="FFFFFF" w:themeFill="background1"/>
      </w:tcPr>
    </w:tblStylePr>
    <w:tblStylePr w:type="lastCol">
      <w:tblPr/>
      <w:tcPr>
        <w:tcBorders>
          <w:top w:val="nil"/>
          <w:left w:val="single" w:sz="8" w:space="0" w:color="4F81BD"/>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hemeFill="background1"/>
      </w:tcPr>
    </w:tblStylePr>
    <w:tblStylePr w:type="lastRow">
      <w:tblPr/>
      <w:tcPr>
        <w:tcBorders>
          <w:top w:val="single" w:sz="8" w:space="0" w:color="C0504D"/>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insideH w:val="nil"/>
          <w:insideV w:val="nil"/>
        </w:tcBorders>
        <w:shd w:val="clear" w:color="auto" w:fill="FFFFFF" w:themeFill="background1"/>
      </w:tcPr>
    </w:tblStylePr>
    <w:tblStylePr w:type="lastCol">
      <w:tblPr/>
      <w:tcPr>
        <w:tcBorders>
          <w:top w:val="nil"/>
          <w:left w:val="single" w:sz="8" w:space="0" w:color="C0504D"/>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hemeFill="background1"/>
      </w:tcPr>
    </w:tblStylePr>
    <w:tblStylePr w:type="lastRow">
      <w:tblPr/>
      <w:tcPr>
        <w:tcBorders>
          <w:top w:val="single" w:sz="8" w:space="0" w:color="9BBB59"/>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insideH w:val="nil"/>
          <w:insideV w:val="nil"/>
        </w:tcBorders>
        <w:shd w:val="clear" w:color="auto" w:fill="FFFFFF" w:themeFill="background1"/>
      </w:tcPr>
    </w:tblStylePr>
    <w:tblStylePr w:type="lastCol">
      <w:tblPr/>
      <w:tcPr>
        <w:tcBorders>
          <w:top w:val="nil"/>
          <w:left w:val="single" w:sz="8" w:space="0" w:color="9BBB59"/>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hemeFill="background1"/>
      </w:tcPr>
    </w:tblStylePr>
    <w:tblStylePr w:type="lastRow">
      <w:tblPr/>
      <w:tcPr>
        <w:tcBorders>
          <w:top w:val="single" w:sz="8" w:space="0" w:color="8064A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insideH w:val="nil"/>
          <w:insideV w:val="nil"/>
        </w:tcBorders>
        <w:shd w:val="clear" w:color="auto" w:fill="FFFFFF" w:themeFill="background1"/>
      </w:tcPr>
    </w:tblStylePr>
    <w:tblStylePr w:type="lastCol">
      <w:tblPr/>
      <w:tcPr>
        <w:tcBorders>
          <w:top w:val="nil"/>
          <w:left w:val="single" w:sz="8" w:space="0" w:color="8064A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hemeFill="background1"/>
      </w:tcPr>
    </w:tblStylePr>
    <w:tblStylePr w:type="lastRow">
      <w:tblPr/>
      <w:tcPr>
        <w:tcBorders>
          <w:top w:val="single" w:sz="8" w:space="0" w:color="4BACC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insideH w:val="nil"/>
          <w:insideV w:val="nil"/>
        </w:tcBorders>
        <w:shd w:val="clear" w:color="auto" w:fill="FFFFFF" w:themeFill="background1"/>
      </w:tcPr>
    </w:tblStylePr>
    <w:tblStylePr w:type="lastCol">
      <w:tblPr/>
      <w:tcPr>
        <w:tcBorders>
          <w:top w:val="nil"/>
          <w:left w:val="single" w:sz="8" w:space="0" w:color="4BACC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hemeFill="background1"/>
      </w:tcPr>
    </w:tblStylePr>
    <w:tblStylePr w:type="lastRow">
      <w:tblPr/>
      <w:tcPr>
        <w:tcBorders>
          <w:top w:val="single" w:sz="8" w:space="0" w:color="F7964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insideH w:val="nil"/>
          <w:insideV w:val="nil"/>
        </w:tcBorders>
        <w:shd w:val="clear" w:color="auto" w:fill="FFFFFF" w:themeFill="background1"/>
      </w:tcPr>
    </w:tblStylePr>
    <w:tblStylePr w:type="lastCol">
      <w:tblPr/>
      <w:tcPr>
        <w:tcBorders>
          <w:top w:val="nil"/>
          <w:left w:val="single" w:sz="8" w:space="0" w:color="F7964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hemeFill="text1" w:themeFillTint="3F"/>
    </w:tcPr>
    <w:tblStylePr w:type="firstRow">
      <w:rPr>
        <w:b/>
        <w:bCs/>
        <w:color w:val="000000"/>
      </w:rPr>
      <w:tblPr/>
      <w:tcPr>
        <w:shd w:val="clear" w:color="auto" w:fill="E6E6E6" w:themeFill="text1" w:themeFillTint="19"/>
      </w:tcPr>
    </w:tblStylePr>
    <w:tblStylePr w:type="lastRow">
      <w:rPr>
        <w:b/>
        <w:bCs/>
        <w:color w:val="000000"/>
      </w:rPr>
      <w:tblPr/>
      <w:tcPr>
        <w:tcBorders>
          <w:top w:val="single" w:sz="12" w:space="0" w:color="000000"/>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insideV w:val="single" w:sz="6" w:space="0" w:color="00000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hemeFill="accent1" w:themeFillTint="3F"/>
    </w:tcPr>
    <w:tblStylePr w:type="firstRow">
      <w:rPr>
        <w:b/>
        <w:bCs/>
        <w:color w:val="000000"/>
      </w:rPr>
      <w:tblPr/>
      <w:tcPr>
        <w:shd w:val="clear" w:color="auto" w:fill="EDF2F8" w:themeFill="accent1" w:themeFillTint="19"/>
      </w:tcPr>
    </w:tblStylePr>
    <w:tblStylePr w:type="lastRow">
      <w:rPr>
        <w:b/>
        <w:bCs/>
        <w:color w:val="000000"/>
      </w:rPr>
      <w:tblPr/>
      <w:tcPr>
        <w:tcBorders>
          <w:top w:val="single" w:sz="12" w:space="0" w:color="000000"/>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insideV w:val="single" w:sz="6" w:space="0" w:color="4F81BD"/>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hemeFill="accent2" w:themeFillTint="3F"/>
    </w:tcPr>
    <w:tblStylePr w:type="firstRow">
      <w:rPr>
        <w:b/>
        <w:bCs/>
        <w:color w:val="000000"/>
      </w:rPr>
      <w:tblPr/>
      <w:tcPr>
        <w:shd w:val="clear" w:color="auto" w:fill="F8EDED" w:themeFill="accent2" w:themeFillTint="19"/>
      </w:tcPr>
    </w:tblStylePr>
    <w:tblStylePr w:type="lastRow">
      <w:rPr>
        <w:b/>
        <w:bCs/>
        <w:color w:val="000000"/>
      </w:rPr>
      <w:tblPr/>
      <w:tcPr>
        <w:tcBorders>
          <w:top w:val="single" w:sz="12" w:space="0" w:color="000000"/>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insideV w:val="single" w:sz="6" w:space="0" w:color="C0504D"/>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hemeFill="accent3" w:themeFillTint="3F"/>
    </w:tcPr>
    <w:tblStylePr w:type="firstRow">
      <w:rPr>
        <w:b/>
        <w:bCs/>
        <w:color w:val="000000"/>
      </w:rPr>
      <w:tblPr/>
      <w:tcPr>
        <w:shd w:val="clear" w:color="auto" w:fill="F5F8EE" w:themeFill="accent3" w:themeFillTint="19"/>
      </w:tcPr>
    </w:tblStylePr>
    <w:tblStylePr w:type="lastRow">
      <w:rPr>
        <w:b/>
        <w:bCs/>
        <w:color w:val="000000"/>
      </w:rPr>
      <w:tblPr/>
      <w:tcPr>
        <w:tcBorders>
          <w:top w:val="single" w:sz="12" w:space="0" w:color="000000"/>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insideV w:val="single" w:sz="6" w:space="0" w:color="9BBB59"/>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hemeFill="accent4" w:themeFillTint="3F"/>
    </w:tcPr>
    <w:tblStylePr w:type="firstRow">
      <w:rPr>
        <w:b/>
        <w:bCs/>
        <w:color w:val="000000"/>
      </w:rPr>
      <w:tblPr/>
      <w:tcPr>
        <w:shd w:val="clear" w:color="auto" w:fill="F2EFF6" w:themeFill="accent4" w:themeFillTint="19"/>
      </w:tcPr>
    </w:tblStylePr>
    <w:tblStylePr w:type="lastRow">
      <w:rPr>
        <w:b/>
        <w:bCs/>
        <w:color w:val="000000"/>
      </w:rPr>
      <w:tblPr/>
      <w:tcPr>
        <w:tcBorders>
          <w:top w:val="single" w:sz="12" w:space="0" w:color="000000"/>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insideV w:val="single" w:sz="6" w:space="0" w:color="8064A2"/>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hemeFill="accent5" w:themeFillTint="3F"/>
    </w:tcPr>
    <w:tblStylePr w:type="firstRow">
      <w:rPr>
        <w:b/>
        <w:bCs/>
        <w:color w:val="000000"/>
      </w:rPr>
      <w:tblPr/>
      <w:tcPr>
        <w:shd w:val="clear" w:color="auto" w:fill="EDF6F9" w:themeFill="accent5" w:themeFillTint="19"/>
      </w:tcPr>
    </w:tblStylePr>
    <w:tblStylePr w:type="lastRow">
      <w:rPr>
        <w:b/>
        <w:bCs/>
        <w:color w:val="000000"/>
      </w:rPr>
      <w:tblPr/>
      <w:tcPr>
        <w:tcBorders>
          <w:top w:val="single" w:sz="12" w:space="0" w:color="000000"/>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insideV w:val="single" w:sz="6" w:space="0" w:color="4BACC6"/>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hemeFill="accent6" w:themeFillTint="3F"/>
    </w:tcPr>
    <w:tblStylePr w:type="firstRow">
      <w:rPr>
        <w:b/>
        <w:bCs/>
        <w:color w:val="000000"/>
      </w:rPr>
      <w:tblPr/>
      <w:tcPr>
        <w:shd w:val="clear" w:color="auto" w:fill="FEF4EC" w:themeFill="accent6" w:themeFillTint="19"/>
      </w:tcPr>
    </w:tblStylePr>
    <w:tblStylePr w:type="lastRow">
      <w:rPr>
        <w:b/>
        <w:bCs/>
        <w:color w:val="000000"/>
      </w:rPr>
      <w:tblPr/>
      <w:tcPr>
        <w:tcBorders>
          <w:top w:val="single" w:sz="12" w:space="0" w:color="000000"/>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insideV w:val="single" w:sz="6" w:space="0" w:color="F7964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hemeFill="text1" w:themeFillTint="3F"/>
    </w:tcPr>
    <w:tblStylePr w:type="firstRow">
      <w:rPr>
        <w:b/>
        <w:bCs/>
        <w:i w:val="0"/>
        <w:iCs w:val="0"/>
        <w:color w:val="00000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hemeFill="text1"/>
      </w:tcPr>
    </w:tblStylePr>
    <w:tblStylePr w:type="lastRow">
      <w:rPr>
        <w:b/>
        <w:bCs/>
        <w:i w:val="0"/>
        <w:iCs w:val="0"/>
        <w:color w:val="000000"/>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hemeFill="text1"/>
      </w:tcPr>
    </w:tblStylePr>
    <w:tblStylePr w:type="firstCol">
      <w:rPr>
        <w:b/>
        <w:bCs/>
        <w:i w:val="0"/>
        <w:iCs w:val="0"/>
        <w:color w:val="000000"/>
      </w:rPr>
      <w:tblPr/>
      <w:tcPr>
        <w:tcBorders>
          <w:left w:val="single" w:sz="8" w:space="0" w:color="FFFFFF"/>
          <w:right w:val="single" w:sz="24" w:space="0" w:color="FFFFFF"/>
          <w:insideH w:val="nil"/>
          <w:insideV w:val="nil"/>
        </w:tcBorders>
        <w:shd w:val="clear" w:color="auto" w:fill="000000" w:themeFill="text1"/>
      </w:tcPr>
    </w:tblStylePr>
    <w:tblStylePr w:type="lastCol">
      <w:rPr>
        <w:b/>
        <w:bCs/>
        <w:i w:val="0"/>
        <w:iCs w:val="0"/>
        <w:color w:val="000000"/>
      </w:rPr>
      <w:tblPr/>
      <w:tcPr>
        <w:tcBorders>
          <w:top w:val="nil"/>
          <w:left w:val="single" w:sz="24" w:space="0" w:color="FFFFFF"/>
          <w:bottom w:val="nil"/>
          <w:right w:val="nil"/>
          <w:insideH w:val="nil"/>
          <w:insideV w:val="nil"/>
        </w:tcBorders>
        <w:shd w:val="clear" w:color="auto" w:fill="000000" w:themeFill="text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hemeFill="text1" w:themeFillTint="7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00000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hemeFill="accent1"/>
      </w:tcPr>
    </w:tblStylePr>
    <w:tblStylePr w:type="lastRow">
      <w:rPr>
        <w:b/>
        <w:bCs/>
        <w:i w:val="0"/>
        <w:iCs w:val="0"/>
        <w:color w:val="000000"/>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hemeFill="accent1"/>
      </w:tcPr>
    </w:tblStylePr>
    <w:tblStylePr w:type="firstCol">
      <w:rPr>
        <w:b/>
        <w:bCs/>
        <w:i w:val="0"/>
        <w:iCs w:val="0"/>
        <w:color w:val="000000"/>
      </w:rPr>
      <w:tblPr/>
      <w:tcPr>
        <w:tcBorders>
          <w:left w:val="single" w:sz="8" w:space="0" w:color="FFFFFF"/>
          <w:right w:val="single" w:sz="24" w:space="0" w:color="FFFFFF"/>
          <w:insideH w:val="nil"/>
          <w:insideV w:val="nil"/>
        </w:tcBorders>
        <w:shd w:val="clear" w:color="auto" w:fill="4F81BD" w:themeFill="accent1"/>
      </w:tcPr>
    </w:tblStylePr>
    <w:tblStylePr w:type="lastCol">
      <w:rPr>
        <w:b/>
        <w:bCs/>
        <w:i w:val="0"/>
        <w:iCs w:val="0"/>
        <w:color w:val="000000"/>
      </w:rPr>
      <w:tblPr/>
      <w:tcPr>
        <w:tcBorders>
          <w:top w:val="nil"/>
          <w:left w:val="single" w:sz="24" w:space="0" w:color="FFFFFF"/>
          <w:bottom w:val="nil"/>
          <w:right w:val="nil"/>
          <w:insideH w:val="nil"/>
          <w:insideV w:val="nil"/>
        </w:tcBorders>
        <w:shd w:val="clear" w:color="auto" w:fill="4F81BD" w:themeFill="accent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hemeFill="accent1" w:themeFillTint="7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00000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hemeFill="accent2"/>
      </w:tcPr>
    </w:tblStylePr>
    <w:tblStylePr w:type="lastRow">
      <w:rPr>
        <w:b/>
        <w:bCs/>
        <w:i w:val="0"/>
        <w:iCs w:val="0"/>
        <w:color w:val="000000"/>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hemeFill="accent2"/>
      </w:tcPr>
    </w:tblStylePr>
    <w:tblStylePr w:type="firstCol">
      <w:rPr>
        <w:b/>
        <w:bCs/>
        <w:i w:val="0"/>
        <w:iCs w:val="0"/>
        <w:color w:val="000000"/>
      </w:rPr>
      <w:tblPr/>
      <w:tcPr>
        <w:tcBorders>
          <w:left w:val="single" w:sz="8" w:space="0" w:color="FFFFFF"/>
          <w:right w:val="single" w:sz="24" w:space="0" w:color="FFFFFF"/>
          <w:insideH w:val="nil"/>
          <w:insideV w:val="nil"/>
        </w:tcBorders>
        <w:shd w:val="clear" w:color="auto" w:fill="C0504D" w:themeFill="accent2"/>
      </w:tcPr>
    </w:tblStylePr>
    <w:tblStylePr w:type="lastCol">
      <w:rPr>
        <w:b/>
        <w:bCs/>
        <w:i w:val="0"/>
        <w:iCs w:val="0"/>
        <w:color w:val="000000"/>
      </w:rPr>
      <w:tblPr/>
      <w:tcPr>
        <w:tcBorders>
          <w:top w:val="nil"/>
          <w:left w:val="single" w:sz="24" w:space="0" w:color="FFFFFF"/>
          <w:bottom w:val="nil"/>
          <w:right w:val="nil"/>
          <w:insideH w:val="nil"/>
          <w:insideV w:val="nil"/>
        </w:tcBorders>
        <w:shd w:val="clear" w:color="auto" w:fill="C0504D" w:themeFill="accent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hemeFill="accent2" w:themeFillTint="7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00000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hemeFill="accent3"/>
      </w:tcPr>
    </w:tblStylePr>
    <w:tblStylePr w:type="lastRow">
      <w:rPr>
        <w:b/>
        <w:bCs/>
        <w:i w:val="0"/>
        <w:iCs w:val="0"/>
        <w:color w:val="000000"/>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hemeFill="accent3"/>
      </w:tcPr>
    </w:tblStylePr>
    <w:tblStylePr w:type="firstCol">
      <w:rPr>
        <w:b/>
        <w:bCs/>
        <w:i w:val="0"/>
        <w:iCs w:val="0"/>
        <w:color w:val="000000"/>
      </w:rPr>
      <w:tblPr/>
      <w:tcPr>
        <w:tcBorders>
          <w:left w:val="single" w:sz="8" w:space="0" w:color="FFFFFF"/>
          <w:right w:val="single" w:sz="24" w:space="0" w:color="FFFFFF"/>
          <w:insideH w:val="nil"/>
          <w:insideV w:val="nil"/>
        </w:tcBorders>
        <w:shd w:val="clear" w:color="auto" w:fill="9BBB59" w:themeFill="accent3"/>
      </w:tcPr>
    </w:tblStylePr>
    <w:tblStylePr w:type="lastCol">
      <w:rPr>
        <w:b/>
        <w:bCs/>
        <w:i w:val="0"/>
        <w:iCs w:val="0"/>
        <w:color w:val="000000"/>
      </w:rPr>
      <w:tblPr/>
      <w:tcPr>
        <w:tcBorders>
          <w:top w:val="nil"/>
          <w:left w:val="single" w:sz="24" w:space="0" w:color="FFFFFF"/>
          <w:bottom w:val="nil"/>
          <w:right w:val="nil"/>
          <w:insideH w:val="nil"/>
          <w:insideV w:val="nil"/>
        </w:tcBorders>
        <w:shd w:val="clear" w:color="auto" w:fill="9BBB59" w:themeFill="accent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hemeFill="accent3" w:themeFillTint="7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00000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hemeFill="accent4"/>
      </w:tcPr>
    </w:tblStylePr>
    <w:tblStylePr w:type="lastRow">
      <w:rPr>
        <w:b/>
        <w:bCs/>
        <w:i w:val="0"/>
        <w:iCs w:val="0"/>
        <w:color w:val="000000"/>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hemeFill="accent4"/>
      </w:tcPr>
    </w:tblStylePr>
    <w:tblStylePr w:type="firstCol">
      <w:rPr>
        <w:b/>
        <w:bCs/>
        <w:i w:val="0"/>
        <w:iCs w:val="0"/>
        <w:color w:val="000000"/>
      </w:rPr>
      <w:tblPr/>
      <w:tcPr>
        <w:tcBorders>
          <w:left w:val="single" w:sz="8" w:space="0" w:color="FFFFFF"/>
          <w:right w:val="single" w:sz="24" w:space="0" w:color="FFFFFF"/>
          <w:insideH w:val="nil"/>
          <w:insideV w:val="nil"/>
        </w:tcBorders>
        <w:shd w:val="clear" w:color="auto" w:fill="8064A2" w:themeFill="accent4"/>
      </w:tcPr>
    </w:tblStylePr>
    <w:tblStylePr w:type="lastCol">
      <w:rPr>
        <w:b/>
        <w:bCs/>
        <w:i w:val="0"/>
        <w:iCs w:val="0"/>
        <w:color w:val="000000"/>
      </w:rPr>
      <w:tblPr/>
      <w:tcPr>
        <w:tcBorders>
          <w:top w:val="nil"/>
          <w:left w:val="single" w:sz="24" w:space="0" w:color="FFFFFF"/>
          <w:bottom w:val="nil"/>
          <w:right w:val="nil"/>
          <w:insideH w:val="nil"/>
          <w:insideV w:val="nil"/>
        </w:tcBorders>
        <w:shd w:val="clear" w:color="auto" w:fill="8064A2" w:themeFill="accent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hemeFill="accent4" w:themeFillTint="7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00000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hemeFill="accent5"/>
      </w:tcPr>
    </w:tblStylePr>
    <w:tblStylePr w:type="lastRow">
      <w:rPr>
        <w:b/>
        <w:bCs/>
        <w:i w:val="0"/>
        <w:iCs w:val="0"/>
        <w:color w:val="000000"/>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hemeFill="accent5"/>
      </w:tcPr>
    </w:tblStylePr>
    <w:tblStylePr w:type="firstCol">
      <w:rPr>
        <w:b/>
        <w:bCs/>
        <w:i w:val="0"/>
        <w:iCs w:val="0"/>
        <w:color w:val="000000"/>
      </w:rPr>
      <w:tblPr/>
      <w:tcPr>
        <w:tcBorders>
          <w:left w:val="single" w:sz="8" w:space="0" w:color="FFFFFF"/>
          <w:right w:val="single" w:sz="24" w:space="0" w:color="FFFFFF"/>
          <w:insideH w:val="nil"/>
          <w:insideV w:val="nil"/>
        </w:tcBorders>
        <w:shd w:val="clear" w:color="auto" w:fill="4BACC6" w:themeFill="accent5"/>
      </w:tcPr>
    </w:tblStylePr>
    <w:tblStylePr w:type="lastCol">
      <w:rPr>
        <w:b/>
        <w:bCs/>
        <w:i w:val="0"/>
        <w:iCs w:val="0"/>
        <w:color w:val="000000"/>
      </w:rPr>
      <w:tblPr/>
      <w:tcPr>
        <w:tcBorders>
          <w:top w:val="nil"/>
          <w:left w:val="single" w:sz="24" w:space="0" w:color="FFFFFF"/>
          <w:bottom w:val="nil"/>
          <w:right w:val="nil"/>
          <w:insideH w:val="nil"/>
          <w:insideV w:val="nil"/>
        </w:tcBorders>
        <w:shd w:val="clear" w:color="auto" w:fill="4BACC6" w:themeFill="accent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hemeFill="accent5" w:themeFillTint="7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00000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hemeFill="accent6"/>
      </w:tcPr>
    </w:tblStylePr>
    <w:tblStylePr w:type="lastRow">
      <w:rPr>
        <w:b/>
        <w:bCs/>
        <w:i w:val="0"/>
        <w:iCs w:val="0"/>
        <w:color w:val="000000"/>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hemeFill="accent6"/>
      </w:tcPr>
    </w:tblStylePr>
    <w:tblStylePr w:type="firstCol">
      <w:rPr>
        <w:b/>
        <w:bCs/>
        <w:i w:val="0"/>
        <w:iCs w:val="0"/>
        <w:color w:val="000000"/>
      </w:rPr>
      <w:tblPr/>
      <w:tcPr>
        <w:tcBorders>
          <w:left w:val="single" w:sz="8" w:space="0" w:color="FFFFFF"/>
          <w:right w:val="single" w:sz="24" w:space="0" w:color="FFFFFF"/>
          <w:insideH w:val="nil"/>
          <w:insideV w:val="nil"/>
        </w:tcBorders>
        <w:shd w:val="clear" w:color="auto" w:fill="F79646" w:themeFill="accent6"/>
      </w:tcPr>
    </w:tblStylePr>
    <w:tblStylePr w:type="lastCol">
      <w:rPr>
        <w:b/>
        <w:bCs/>
        <w:i w:val="0"/>
        <w:iCs w:val="0"/>
        <w:color w:val="000000"/>
      </w:rPr>
      <w:tblPr/>
      <w:tcPr>
        <w:tcBorders>
          <w:top w:val="nil"/>
          <w:left w:val="single" w:sz="24" w:space="0" w:color="FFFFFF"/>
          <w:bottom w:val="nil"/>
          <w:right w:val="nil"/>
          <w:insideH w:val="nil"/>
          <w:insideV w:val="nil"/>
        </w:tcBorders>
        <w:shd w:val="clear" w:color="auto" w:fill="F79646" w:themeFill="accent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hemeFill="accent6" w:themeFillTint="7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right w:val="nil"/>
          <w:insideH w:val="nil"/>
          <w:insideV w:val="nil"/>
        </w:tcBorders>
        <w:shd w:val="clear" w:color="auto" w:fill="000000" w:themeFill="text1"/>
      </w:tcPr>
    </w:tblStylePr>
    <w:tblStylePr w:type="lastRow">
      <w:tblPr/>
      <w:tcPr>
        <w:tcBorders>
          <w:top w:val="single" w:sz="18" w:space="0" w:color="FFFFFF"/>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insideH w:val="nil"/>
          <w:insideV w:val="nil"/>
        </w:tcBorders>
        <w:shd w:val="clear" w:color="auto" w:fill="000000" w:themeFill="text1" w:themeFillShade="BF"/>
      </w:tcPr>
    </w:tblStylePr>
    <w:tblStylePr w:type="lastCol">
      <w:tblPr/>
      <w:tcPr>
        <w:tcBorders>
          <w:top w:val="nil"/>
          <w:left w:val="single" w:sz="18" w:space="0" w:color="FFFFFF"/>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right w:val="nil"/>
          <w:insideH w:val="nil"/>
          <w:insideV w:val="nil"/>
        </w:tcBorders>
        <w:shd w:val="clear" w:color="auto" w:fill="000000" w:themeFill="text1"/>
      </w:tcPr>
    </w:tblStylePr>
    <w:tblStylePr w:type="lastRow">
      <w:tblPr/>
      <w:tcPr>
        <w:tcBorders>
          <w:top w:val="single" w:sz="18" w:space="0" w:color="FFFFFF"/>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insideH w:val="nil"/>
          <w:insideV w:val="nil"/>
        </w:tcBorders>
        <w:shd w:val="clear" w:color="auto" w:fill="365F91" w:themeFill="accent1" w:themeFillShade="BF"/>
      </w:tcPr>
    </w:tblStylePr>
    <w:tblStylePr w:type="lastCol">
      <w:tblPr/>
      <w:tcPr>
        <w:tcBorders>
          <w:top w:val="nil"/>
          <w:left w:val="single" w:sz="18" w:space="0" w:color="FFFFFF"/>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right w:val="nil"/>
          <w:insideH w:val="nil"/>
          <w:insideV w:val="nil"/>
        </w:tcBorders>
        <w:shd w:val="clear" w:color="auto" w:fill="000000" w:themeFill="text1"/>
      </w:tcPr>
    </w:tblStylePr>
    <w:tblStylePr w:type="lastRow">
      <w:tblPr/>
      <w:tcPr>
        <w:tcBorders>
          <w:top w:val="single" w:sz="18" w:space="0" w:color="FFFFFF"/>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insideH w:val="nil"/>
          <w:insideV w:val="nil"/>
        </w:tcBorders>
        <w:shd w:val="clear" w:color="auto" w:fill="943634" w:themeFill="accent2" w:themeFillShade="BF"/>
      </w:tcPr>
    </w:tblStylePr>
    <w:tblStylePr w:type="lastCol">
      <w:tblPr/>
      <w:tcPr>
        <w:tcBorders>
          <w:top w:val="nil"/>
          <w:left w:val="single" w:sz="18" w:space="0" w:color="FFFFFF"/>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right w:val="nil"/>
          <w:insideH w:val="nil"/>
          <w:insideV w:val="nil"/>
        </w:tcBorders>
        <w:shd w:val="clear" w:color="auto" w:fill="000000" w:themeFill="text1"/>
      </w:tcPr>
    </w:tblStylePr>
    <w:tblStylePr w:type="lastRow">
      <w:tblPr/>
      <w:tcPr>
        <w:tcBorders>
          <w:top w:val="single" w:sz="18" w:space="0" w:color="FFFFFF"/>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insideH w:val="nil"/>
          <w:insideV w:val="nil"/>
        </w:tcBorders>
        <w:shd w:val="clear" w:color="auto" w:fill="76923C" w:themeFill="accent3" w:themeFillShade="BF"/>
      </w:tcPr>
    </w:tblStylePr>
    <w:tblStylePr w:type="lastCol">
      <w:tblPr/>
      <w:tcPr>
        <w:tcBorders>
          <w:top w:val="nil"/>
          <w:left w:val="single" w:sz="18" w:space="0" w:color="FFFFFF"/>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right w:val="nil"/>
          <w:insideH w:val="nil"/>
          <w:insideV w:val="nil"/>
        </w:tcBorders>
        <w:shd w:val="clear" w:color="auto" w:fill="000000" w:themeFill="text1"/>
      </w:tcPr>
    </w:tblStylePr>
    <w:tblStylePr w:type="lastRow">
      <w:tblPr/>
      <w:tcPr>
        <w:tcBorders>
          <w:top w:val="single" w:sz="18" w:space="0" w:color="FFFFFF"/>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insideH w:val="nil"/>
          <w:insideV w:val="nil"/>
        </w:tcBorders>
        <w:shd w:val="clear" w:color="auto" w:fill="5F497A" w:themeFill="accent4" w:themeFillShade="BF"/>
      </w:tcPr>
    </w:tblStylePr>
    <w:tblStylePr w:type="lastCol">
      <w:tblPr/>
      <w:tcPr>
        <w:tcBorders>
          <w:top w:val="nil"/>
          <w:left w:val="single" w:sz="18" w:space="0" w:color="FFFFFF"/>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right w:val="nil"/>
          <w:insideH w:val="nil"/>
          <w:insideV w:val="nil"/>
        </w:tcBorders>
        <w:shd w:val="clear" w:color="auto" w:fill="000000" w:themeFill="text1"/>
      </w:tcPr>
    </w:tblStylePr>
    <w:tblStylePr w:type="lastRow">
      <w:tblPr/>
      <w:tcPr>
        <w:tcBorders>
          <w:top w:val="single" w:sz="18" w:space="0" w:color="FFFFFF"/>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insideH w:val="nil"/>
          <w:insideV w:val="nil"/>
        </w:tcBorders>
        <w:shd w:val="clear" w:color="auto" w:fill="31849B" w:themeFill="accent5" w:themeFillShade="BF"/>
      </w:tcPr>
    </w:tblStylePr>
    <w:tblStylePr w:type="lastCol">
      <w:tblPr/>
      <w:tcPr>
        <w:tcBorders>
          <w:top w:val="nil"/>
          <w:left w:val="single" w:sz="18" w:space="0" w:color="FFFFFF"/>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right w:val="nil"/>
          <w:insideH w:val="nil"/>
          <w:insideV w:val="nil"/>
        </w:tcBorders>
        <w:shd w:val="clear" w:color="auto" w:fill="000000" w:themeFill="text1"/>
      </w:tcPr>
    </w:tblStylePr>
    <w:tblStylePr w:type="lastRow">
      <w:tblPr/>
      <w:tcPr>
        <w:tcBorders>
          <w:top w:val="single" w:sz="18" w:space="0" w:color="FFFFFF"/>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insideH w:val="nil"/>
          <w:insideV w:val="nil"/>
        </w:tcBorders>
        <w:shd w:val="clear" w:color="auto" w:fill="E36C0A" w:themeFill="accent6" w:themeFillShade="BF"/>
      </w:tcPr>
    </w:tblStylePr>
    <w:tblStylePr w:type="lastCol">
      <w:tblPr/>
      <w:tcPr>
        <w:tcBorders>
          <w:top w:val="nil"/>
          <w:left w:val="single" w:sz="18" w:space="0" w:color="FFFFFF"/>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right w:val="nil"/>
          <w:insideH w:val="nil"/>
          <w:insideV w:val="nil"/>
        </w:tcBorders>
        <w:shd w:val="clear" w:color="auto" w:fill="FFFFFF" w:themeFill="background1"/>
      </w:tcPr>
    </w:tblStylePr>
    <w:tblStylePr w:type="lastRow">
      <w:rPr>
        <w:b/>
        <w:bCs/>
        <w:color w:val="000000"/>
      </w:rPr>
      <w:tblPr/>
      <w:tcPr>
        <w:tcBorders>
          <w:top w:val="single" w:sz="6" w:space="0" w:color="FFFFFF"/>
        </w:tcBorders>
        <w:shd w:val="clear" w:color="auto" w:fill="000000" w:themeFill="text1" w:themeFillShade="99"/>
      </w:tcPr>
    </w:tblStylePr>
    <w:tblStylePr w:type="firstCol">
      <w:rPr>
        <w:color w:val="000000"/>
      </w:rPr>
      <w:tblPr/>
      <w:tcPr>
        <w:tcBorders>
          <w:top w:val="nil"/>
          <w:left w:val="nil"/>
          <w:bottom w:val="nil"/>
          <w:right w:val="nil"/>
          <w:insideH w:val="single" w:sz="4" w:space="0" w:color="000000"/>
          <w:insideV w:val="nil"/>
        </w:tcBorders>
        <w:shd w:val="clear" w:color="auto" w:fill="000000" w:themeFill="text1" w:themeFillShade="99"/>
      </w:tcPr>
    </w:tblStylePr>
    <w:tblStylePr w:type="lastCol">
      <w:rPr>
        <w:color w:val="000000"/>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right w:val="nil"/>
          <w:insideH w:val="nil"/>
          <w:insideV w:val="nil"/>
        </w:tcBorders>
        <w:shd w:val="clear" w:color="auto" w:fill="FFFFFF" w:themeFill="background1"/>
      </w:tcPr>
    </w:tblStylePr>
    <w:tblStylePr w:type="lastRow">
      <w:rPr>
        <w:b/>
        <w:bCs/>
        <w:color w:val="000000"/>
      </w:rPr>
      <w:tblPr/>
      <w:tcPr>
        <w:tcBorders>
          <w:top w:val="single" w:sz="6" w:space="0" w:color="FFFFFF"/>
        </w:tcBorders>
        <w:shd w:val="clear" w:color="auto" w:fill="2C4C74" w:themeFill="accent1" w:themeFillShade="99"/>
      </w:tcPr>
    </w:tblStylePr>
    <w:tblStylePr w:type="firstCol">
      <w:rPr>
        <w:color w:val="000000"/>
      </w:rPr>
      <w:tblPr/>
      <w:tcPr>
        <w:tcBorders>
          <w:top w:val="nil"/>
          <w:left w:val="nil"/>
          <w:bottom w:val="nil"/>
          <w:right w:val="nil"/>
          <w:insideH w:val="single" w:sz="4" w:space="0" w:color="2C4C74"/>
          <w:insideV w:val="nil"/>
        </w:tcBorders>
        <w:shd w:val="clear" w:color="auto" w:fill="2C4C74" w:themeFill="accent1" w:themeFillShade="99"/>
      </w:tcPr>
    </w:tblStylePr>
    <w:tblStylePr w:type="lastCol">
      <w:rPr>
        <w:color w:val="000000"/>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right w:val="nil"/>
          <w:insideH w:val="nil"/>
          <w:insideV w:val="nil"/>
        </w:tcBorders>
        <w:shd w:val="clear" w:color="auto" w:fill="FFFFFF" w:themeFill="background1"/>
      </w:tcPr>
    </w:tblStylePr>
    <w:tblStylePr w:type="lastRow">
      <w:rPr>
        <w:b/>
        <w:bCs/>
        <w:color w:val="000000"/>
      </w:rPr>
      <w:tblPr/>
      <w:tcPr>
        <w:tcBorders>
          <w:top w:val="single" w:sz="6" w:space="0" w:color="FFFFFF"/>
        </w:tcBorders>
        <w:shd w:val="clear" w:color="auto" w:fill="772C2A" w:themeFill="accent2" w:themeFillShade="99"/>
      </w:tcPr>
    </w:tblStylePr>
    <w:tblStylePr w:type="firstCol">
      <w:rPr>
        <w:color w:val="000000"/>
      </w:rPr>
      <w:tblPr/>
      <w:tcPr>
        <w:tcBorders>
          <w:top w:val="nil"/>
          <w:left w:val="nil"/>
          <w:bottom w:val="nil"/>
          <w:right w:val="nil"/>
          <w:insideH w:val="single" w:sz="4" w:space="0" w:color="772C2A"/>
          <w:insideV w:val="nil"/>
        </w:tcBorders>
        <w:shd w:val="clear" w:color="auto" w:fill="772C2A" w:themeFill="accent2" w:themeFillShade="99"/>
      </w:tcPr>
    </w:tblStylePr>
    <w:tblStylePr w:type="lastCol">
      <w:rPr>
        <w:color w:val="000000"/>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CB0664"/>
    <w:pPr>
      <w:spacing w:after="0" w:line="240" w:lineRule="auto"/>
    </w:pPr>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right w:val="nil"/>
          <w:insideH w:val="nil"/>
          <w:insideV w:val="nil"/>
        </w:tcBorders>
        <w:shd w:val="clear" w:color="auto" w:fill="FFFFFF" w:themeFill="background1"/>
      </w:tcPr>
    </w:tblStylePr>
    <w:tblStylePr w:type="lastRow">
      <w:rPr>
        <w:b/>
        <w:bCs/>
        <w:color w:val="000000"/>
      </w:rPr>
      <w:tblPr/>
      <w:tcPr>
        <w:tcBorders>
          <w:top w:val="single" w:sz="6" w:space="0" w:color="FFFFFF"/>
        </w:tcBorders>
        <w:shd w:val="clear" w:color="auto" w:fill="5E7530" w:themeFill="accent3" w:themeFillShade="99"/>
      </w:tcPr>
    </w:tblStylePr>
    <w:tblStylePr w:type="firstCol">
      <w:rPr>
        <w:color w:val="000000"/>
      </w:rPr>
      <w:tblPr/>
      <w:tcPr>
        <w:tcBorders>
          <w:top w:val="nil"/>
          <w:left w:val="nil"/>
          <w:bottom w:val="nil"/>
          <w:right w:val="nil"/>
          <w:insideH w:val="single" w:sz="4" w:space="0" w:color="5E7530"/>
          <w:insideV w:val="nil"/>
        </w:tcBorders>
        <w:shd w:val="clear" w:color="auto" w:fill="5E7530" w:themeFill="accent3" w:themeFillShade="99"/>
      </w:tcPr>
    </w:tblStylePr>
    <w:tblStylePr w:type="lastCol">
      <w:rPr>
        <w:color w:val="000000"/>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right w:val="nil"/>
          <w:insideH w:val="nil"/>
          <w:insideV w:val="nil"/>
        </w:tcBorders>
        <w:shd w:val="clear" w:color="auto" w:fill="FFFFFF" w:themeFill="background1"/>
      </w:tcPr>
    </w:tblStylePr>
    <w:tblStylePr w:type="lastRow">
      <w:rPr>
        <w:b/>
        <w:bCs/>
        <w:color w:val="000000"/>
      </w:rPr>
      <w:tblPr/>
      <w:tcPr>
        <w:tcBorders>
          <w:top w:val="single" w:sz="6" w:space="0" w:color="FFFFFF"/>
        </w:tcBorders>
        <w:shd w:val="clear" w:color="auto" w:fill="4C3B62" w:themeFill="accent4" w:themeFillShade="99"/>
      </w:tcPr>
    </w:tblStylePr>
    <w:tblStylePr w:type="firstCol">
      <w:rPr>
        <w:color w:val="000000"/>
      </w:rPr>
      <w:tblPr/>
      <w:tcPr>
        <w:tcBorders>
          <w:top w:val="nil"/>
          <w:left w:val="nil"/>
          <w:bottom w:val="nil"/>
          <w:right w:val="nil"/>
          <w:insideH w:val="single" w:sz="4" w:space="0" w:color="4C3B62"/>
          <w:insideV w:val="nil"/>
        </w:tcBorders>
        <w:shd w:val="clear" w:color="auto" w:fill="4C3B62" w:themeFill="accent4" w:themeFillShade="99"/>
      </w:tcPr>
    </w:tblStylePr>
    <w:tblStylePr w:type="lastCol">
      <w:rPr>
        <w:color w:val="000000"/>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CB0664"/>
    <w:pPr>
      <w:spacing w:after="0" w:line="240" w:lineRule="auto"/>
    </w:pPr>
    <w:rPr>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right w:val="nil"/>
          <w:insideH w:val="nil"/>
          <w:insideV w:val="nil"/>
        </w:tcBorders>
        <w:shd w:val="clear" w:color="auto" w:fill="FFFFFF" w:themeFill="background1"/>
      </w:tcPr>
    </w:tblStylePr>
    <w:tblStylePr w:type="lastRow">
      <w:rPr>
        <w:b/>
        <w:bCs/>
        <w:color w:val="000000"/>
      </w:rPr>
      <w:tblPr/>
      <w:tcPr>
        <w:tcBorders>
          <w:top w:val="single" w:sz="6" w:space="0" w:color="FFFFFF"/>
        </w:tcBorders>
        <w:shd w:val="clear" w:color="auto" w:fill="276A7C" w:themeFill="accent5" w:themeFillShade="99"/>
      </w:tcPr>
    </w:tblStylePr>
    <w:tblStylePr w:type="firstCol">
      <w:rPr>
        <w:color w:val="000000"/>
      </w:rPr>
      <w:tblPr/>
      <w:tcPr>
        <w:tcBorders>
          <w:top w:val="nil"/>
          <w:left w:val="nil"/>
          <w:bottom w:val="nil"/>
          <w:right w:val="nil"/>
          <w:insideH w:val="single" w:sz="4" w:space="0" w:color="276A7C"/>
          <w:insideV w:val="nil"/>
        </w:tcBorders>
        <w:shd w:val="clear" w:color="auto" w:fill="276A7C" w:themeFill="accent5" w:themeFillShade="99"/>
      </w:tcPr>
    </w:tblStylePr>
    <w:tblStylePr w:type="lastCol">
      <w:rPr>
        <w:color w:val="000000"/>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CB0664"/>
    <w:pPr>
      <w:spacing w:after="0" w:line="240" w:lineRule="auto"/>
    </w:pPr>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right w:val="nil"/>
          <w:insideH w:val="nil"/>
          <w:insideV w:val="nil"/>
        </w:tcBorders>
        <w:shd w:val="clear" w:color="auto" w:fill="FFFFFF" w:themeFill="background1"/>
      </w:tcPr>
    </w:tblStylePr>
    <w:tblStylePr w:type="lastRow">
      <w:rPr>
        <w:b/>
        <w:bCs/>
        <w:color w:val="000000"/>
      </w:rPr>
      <w:tblPr/>
      <w:tcPr>
        <w:tcBorders>
          <w:top w:val="single" w:sz="6" w:space="0" w:color="FFFFFF"/>
        </w:tcBorders>
        <w:shd w:val="clear" w:color="auto" w:fill="B65608" w:themeFill="accent6" w:themeFillShade="99"/>
      </w:tcPr>
    </w:tblStylePr>
    <w:tblStylePr w:type="firstCol">
      <w:rPr>
        <w:color w:val="000000"/>
      </w:rPr>
      <w:tblPr/>
      <w:tcPr>
        <w:tcBorders>
          <w:top w:val="nil"/>
          <w:left w:val="nil"/>
          <w:bottom w:val="nil"/>
          <w:right w:val="nil"/>
          <w:insideH w:val="single" w:sz="4" w:space="0" w:color="B65608"/>
          <w:insideV w:val="nil"/>
        </w:tcBorders>
        <w:shd w:val="clear" w:color="auto" w:fill="B65608" w:themeFill="accent6" w:themeFillShade="99"/>
      </w:tcPr>
    </w:tblStylePr>
    <w:tblStylePr w:type="lastCol">
      <w:rPr>
        <w:color w:val="000000"/>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rPr>
    </w:tblStylePr>
    <w:tblStylePr w:type="nwCell">
      <w:rPr>
        <w:color w:val="000000"/>
      </w:rPr>
    </w:tblStylePr>
  </w:style>
  <w:style w:type="table" w:styleId="ColorfulList">
    <w:name w:val="Colorful List"/>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000000"/>
      </w:rPr>
      <w:tblPr/>
      <w:tcPr>
        <w:tcBorders>
          <w:bottom w:val="single" w:sz="12" w:space="0" w:color="FFFFFF"/>
        </w:tcBorders>
        <w:shd w:val="clear" w:color="auto" w:fill="9E3A38" w:themeFill="accent2" w:themeFillShade="CC"/>
      </w:tcPr>
    </w:tblStylePr>
    <w:tblStylePr w:type="lastRow">
      <w:rPr>
        <w:b/>
        <w:bCs/>
        <w:color w:val="000000"/>
      </w:rPr>
      <w:tblPr/>
      <w:tcPr>
        <w:tcBorders>
          <w:top w:val="single" w:sz="12" w:space="0" w:color="00000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000000"/>
      </w:rPr>
      <w:tblPr/>
      <w:tcPr>
        <w:tcBorders>
          <w:bottom w:val="single" w:sz="12" w:space="0" w:color="FFFFFF"/>
        </w:tcBorders>
        <w:shd w:val="clear" w:color="auto" w:fill="9E3A38" w:themeFill="accent2" w:themeFillShade="CC"/>
      </w:tcPr>
    </w:tblStylePr>
    <w:tblStylePr w:type="lastRow">
      <w:rPr>
        <w:b/>
        <w:bCs/>
        <w:color w:val="000000"/>
      </w:rPr>
      <w:tblPr/>
      <w:tcPr>
        <w:tcBorders>
          <w:top w:val="single" w:sz="12" w:space="0" w:color="00000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000000"/>
      </w:rPr>
      <w:tblPr/>
      <w:tcPr>
        <w:tcBorders>
          <w:bottom w:val="single" w:sz="12" w:space="0" w:color="FFFFFF"/>
        </w:tcBorders>
        <w:shd w:val="clear" w:color="auto" w:fill="9E3A38" w:themeFill="accent2" w:themeFillShade="CC"/>
      </w:tcPr>
    </w:tblStylePr>
    <w:tblStylePr w:type="lastRow">
      <w:rPr>
        <w:b/>
        <w:bCs/>
        <w:color w:val="000000"/>
      </w:rPr>
      <w:tblPr/>
      <w:tcPr>
        <w:tcBorders>
          <w:top w:val="single" w:sz="12" w:space="0" w:color="00000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000000"/>
      </w:rPr>
      <w:tblPr/>
      <w:tcPr>
        <w:tcBorders>
          <w:bottom w:val="single" w:sz="12" w:space="0" w:color="FFFFFF"/>
        </w:tcBorders>
        <w:shd w:val="clear" w:color="auto" w:fill="664E82" w:themeFill="accent4" w:themeFillShade="CC"/>
      </w:tcPr>
    </w:tblStylePr>
    <w:tblStylePr w:type="lastRow">
      <w:rPr>
        <w:b/>
        <w:bCs/>
        <w:color w:val="000000"/>
      </w:rPr>
      <w:tblPr/>
      <w:tcPr>
        <w:tcBorders>
          <w:top w:val="single" w:sz="12" w:space="0" w:color="00000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000000"/>
      </w:rPr>
      <w:tblPr/>
      <w:tcPr>
        <w:tcBorders>
          <w:bottom w:val="single" w:sz="12" w:space="0" w:color="FFFFFF"/>
        </w:tcBorders>
        <w:shd w:val="clear" w:color="auto" w:fill="7E9C40" w:themeFill="accent3" w:themeFillShade="CC"/>
      </w:tcPr>
    </w:tblStylePr>
    <w:tblStylePr w:type="lastRow">
      <w:rPr>
        <w:b/>
        <w:bCs/>
        <w:color w:val="000000"/>
      </w:rPr>
      <w:tblPr/>
      <w:tcPr>
        <w:tcBorders>
          <w:top w:val="single" w:sz="12" w:space="0" w:color="00000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000000"/>
      </w:rPr>
      <w:tblPr/>
      <w:tcPr>
        <w:tcBorders>
          <w:bottom w:val="single" w:sz="12" w:space="0" w:color="FFFFFF"/>
        </w:tcBorders>
        <w:shd w:val="clear" w:color="auto" w:fill="F2730A" w:themeFill="accent6" w:themeFillShade="CC"/>
      </w:tcPr>
    </w:tblStylePr>
    <w:tblStylePr w:type="lastRow">
      <w:rPr>
        <w:b/>
        <w:bCs/>
        <w:color w:val="000000"/>
      </w:rPr>
      <w:tblPr/>
      <w:tcPr>
        <w:tcBorders>
          <w:top w:val="single" w:sz="12" w:space="0" w:color="00000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000000"/>
      </w:rPr>
      <w:tblPr/>
      <w:tcPr>
        <w:tcBorders>
          <w:bottom w:val="single" w:sz="12" w:space="0" w:color="FFFFFF"/>
        </w:tcBorders>
        <w:shd w:val="clear" w:color="auto" w:fill="348DA5" w:themeFill="accent5" w:themeFillShade="CC"/>
      </w:tcPr>
    </w:tblStylePr>
    <w:tblStylePr w:type="lastRow">
      <w:rPr>
        <w:b/>
        <w:bCs/>
        <w:color w:val="000000"/>
      </w:rPr>
      <w:tblPr/>
      <w:tcPr>
        <w:tcBorders>
          <w:top w:val="single" w:sz="12" w:space="0" w:color="00000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rPr>
      <w:tblPr/>
      <w:tcPr>
        <w:shd w:val="clear" w:color="auto" w:fill="999999" w:themeFill="text1" w:themeFillTint="66"/>
      </w:tcPr>
    </w:tblStylePr>
    <w:tblStylePr w:type="firstCol">
      <w:rPr>
        <w:color w:val="000000"/>
      </w:rPr>
      <w:tblPr/>
      <w:tcPr>
        <w:shd w:val="clear" w:color="auto" w:fill="000000" w:themeFill="text1" w:themeFillShade="BF"/>
      </w:tcPr>
    </w:tblStylePr>
    <w:tblStylePr w:type="lastCol">
      <w:rPr>
        <w:color w:val="000000"/>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rPr>
      <w:tblPr/>
      <w:tcPr>
        <w:shd w:val="clear" w:color="auto" w:fill="B8CCE4" w:themeFill="accent1" w:themeFillTint="66"/>
      </w:tcPr>
    </w:tblStylePr>
    <w:tblStylePr w:type="firstCol">
      <w:rPr>
        <w:color w:val="000000"/>
      </w:rPr>
      <w:tblPr/>
      <w:tcPr>
        <w:shd w:val="clear" w:color="auto" w:fill="365F91" w:themeFill="accent1" w:themeFillShade="BF"/>
      </w:tcPr>
    </w:tblStylePr>
    <w:tblStylePr w:type="lastCol">
      <w:rPr>
        <w:color w:val="000000"/>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rPr>
      <w:tblPr/>
      <w:tcPr>
        <w:shd w:val="clear" w:color="auto" w:fill="E5B8B7" w:themeFill="accent2" w:themeFillTint="66"/>
      </w:tcPr>
    </w:tblStylePr>
    <w:tblStylePr w:type="firstCol">
      <w:rPr>
        <w:color w:val="000000"/>
      </w:rPr>
      <w:tblPr/>
      <w:tcPr>
        <w:shd w:val="clear" w:color="auto" w:fill="943634" w:themeFill="accent2" w:themeFillShade="BF"/>
      </w:tcPr>
    </w:tblStylePr>
    <w:tblStylePr w:type="lastCol">
      <w:rPr>
        <w:color w:val="000000"/>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rPr>
      <w:tblPr/>
      <w:tcPr>
        <w:shd w:val="clear" w:color="auto" w:fill="D6E3BC" w:themeFill="accent3" w:themeFillTint="66"/>
      </w:tcPr>
    </w:tblStylePr>
    <w:tblStylePr w:type="firstCol">
      <w:rPr>
        <w:color w:val="000000"/>
      </w:rPr>
      <w:tblPr/>
      <w:tcPr>
        <w:shd w:val="clear" w:color="auto" w:fill="76923C" w:themeFill="accent3" w:themeFillShade="BF"/>
      </w:tcPr>
    </w:tblStylePr>
    <w:tblStylePr w:type="lastCol">
      <w:rPr>
        <w:color w:val="000000"/>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rPr>
      <w:tblPr/>
      <w:tcPr>
        <w:shd w:val="clear" w:color="auto" w:fill="CCC0D9" w:themeFill="accent4" w:themeFillTint="66"/>
      </w:tcPr>
    </w:tblStylePr>
    <w:tblStylePr w:type="firstCol">
      <w:rPr>
        <w:color w:val="000000"/>
      </w:rPr>
      <w:tblPr/>
      <w:tcPr>
        <w:shd w:val="clear" w:color="auto" w:fill="5F497A" w:themeFill="accent4" w:themeFillShade="BF"/>
      </w:tcPr>
    </w:tblStylePr>
    <w:tblStylePr w:type="lastCol">
      <w:rPr>
        <w:color w:val="000000"/>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rPr>
      <w:tblPr/>
      <w:tcPr>
        <w:shd w:val="clear" w:color="auto" w:fill="B6DDE8" w:themeFill="accent5" w:themeFillTint="66"/>
      </w:tcPr>
    </w:tblStylePr>
    <w:tblStylePr w:type="firstCol">
      <w:rPr>
        <w:color w:val="000000"/>
      </w:rPr>
      <w:tblPr/>
      <w:tcPr>
        <w:shd w:val="clear" w:color="auto" w:fill="31849B" w:themeFill="accent5" w:themeFillShade="BF"/>
      </w:tcPr>
    </w:tblStylePr>
    <w:tblStylePr w:type="lastCol">
      <w:rPr>
        <w:color w:val="000000"/>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rPr>
      <w:tblPr/>
      <w:tcPr>
        <w:shd w:val="clear" w:color="auto" w:fill="FBD4B4" w:themeFill="accent6" w:themeFillTint="66"/>
      </w:tcPr>
    </w:tblStylePr>
    <w:tblStylePr w:type="firstCol">
      <w:rPr>
        <w:color w:val="000000"/>
      </w:rPr>
      <w:tblPr/>
      <w:tcPr>
        <w:shd w:val="clear" w:color="auto" w:fill="E36C0A" w:themeFill="accent6" w:themeFillShade="BF"/>
      </w:tcPr>
    </w:tblStylePr>
    <w:tblStylePr w:type="lastCol">
      <w:rPr>
        <w:color w:val="000000"/>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ato Light" w:hAnsi="Lato Light" w:eastAsia="Lato Light" w:cs="Lato Light"/>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Lato Light" w:hAnsi="Lato Light" w:eastAsia="Lato Light" w:cs="Lato Light"/>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Lato Light" w:hAnsi="Lato Light" w:eastAsia="Lato Light" w:cs="Lato Light"/>
      <w:b/>
      <w:bCs/>
      <w:color w:val="000000"/>
      <w:sz w:val="24"/>
      <w:szCs w:val="24"/>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Lato Light" w:hAnsi="Lato Light" w:eastAsia="Lato Light" w:cs="Lato Light"/>
      <w:b/>
      <w:bCs/>
      <w:color w:val="0000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Lato Light" w:hAnsi="Lato Light" w:eastAsia="Lato Light" w:cs="Lato Light"/>
      <w:b/>
      <w:bCs/>
      <w:i/>
      <w:iCs/>
      <w:color w:val="000000"/>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Lato Light" w:hAnsi="Lato Light" w:eastAsia="Lato Light" w:cs="Lato Light"/>
      <w:color w:val="000000"/>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Lato Light" w:hAnsi="Lato Light" w:eastAsia="Lato Light" w:cs="Lato Light"/>
      <w:i/>
      <w:iCs/>
      <w:color w:val="00000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Lato Light" w:hAnsi="Lato Light" w:eastAsia="Lato Light" w:cs="Lato Light"/>
      <w:i/>
      <w:iCs/>
      <w:color w:val="000000"/>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Lato Light" w:hAnsi="Lato Light" w:eastAsia="Lato Light" w:cs="Lato Light"/>
      <w:color w:val="000000"/>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Lato Light" w:hAnsi="Lato Light" w:eastAsia="Lato Light" w:cs="Lato Light"/>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Lato Light" w:hAnsi="Lato Light" w:eastAsia="Lato Light" w:cs="Lato Light"/>
      <w:b/>
      <w:bCs/>
      <w:color w:val="000000"/>
      <w:sz w:val="28"/>
      <w:szCs w:val="28"/>
    </w:rPr>
  </w:style>
  <w:style w:type="character" w:customStyle="1" w:styleId="Heading2Char">
    <w:name w:val="Heading 2 Char"/>
    <w:basedOn w:val="DefaultParagraphFont"/>
    <w:link w:val="Heading2"/>
    <w:uiPriority w:val="9"/>
    <w:rsid w:val="00FC693F"/>
    <w:rPr>
      <w:rFonts w:ascii="Lato Light" w:hAnsi="Lato Light" w:eastAsia="Lato Light" w:cs="Lato Light"/>
      <w:b/>
      <w:bCs/>
      <w:color w:val="000000"/>
      <w:sz w:val="24"/>
      <w:szCs w:val="24"/>
    </w:rPr>
  </w:style>
  <w:style w:type="character" w:customStyle="1" w:styleId="Heading3Char">
    <w:name w:val="Heading 3 Char"/>
    <w:basedOn w:val="DefaultParagraphFont"/>
    <w:link w:val="Heading3"/>
    <w:uiPriority w:val="9"/>
    <w:rsid w:val="00FC693F"/>
    <w:rPr>
      <w:rFonts w:ascii="Lato Light" w:hAnsi="Lato Light" w:eastAsia="Lato Light" w:cs="Lato Light"/>
      <w:b/>
      <w:bCs/>
      <w:color w:val="000000"/>
    </w:rPr>
  </w:style>
  <w:style w:type="paragraph" w:styleId="Title">
    <w:name w:val="Title"/>
    <w:basedOn w:val="Normal"/>
    <w:next w:val="Normal"/>
    <w:link w:val="TitleChar"/>
    <w:uiPriority w:val="10"/>
    <w:qFormat/>
    <w:rsid w:val="00FC693F"/>
    <w:pPr>
      <w:pBdr>
        <w:bottom w:val="single" w:sz="8" w:space="4" w:color="4F81BD"/>
      </w:pBdr>
      <w:spacing w:after="300" w:line="240" w:lineRule="auto"/>
      <w:contextualSpacing/>
    </w:pPr>
    <w:rPr>
      <w:rFonts w:ascii="Lato Light" w:hAnsi="Lato Light" w:eastAsia="Lato Light" w:cs="Lato Light"/>
      <w:color w:val="000000"/>
      <w:spacing w:val="5"/>
      <w:kern w:val="28"/>
      <w:sz w:val="52"/>
      <w:szCs w:val="52"/>
    </w:rPr>
  </w:style>
  <w:style w:type="character" w:customStyle="1" w:styleId="TitleChar">
    <w:name w:val="Title Char"/>
    <w:basedOn w:val="DefaultParagraphFont"/>
    <w:link w:val="Title"/>
    <w:uiPriority w:val="10"/>
    <w:rsid w:val="00FC693F"/>
    <w:rPr>
      <w:rFonts w:ascii="Lato Light" w:hAnsi="Lato Light" w:eastAsia="Lato Light" w:cs="Lato Light"/>
      <w:color w:val="000000"/>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Lato Light" w:hAnsi="Lato Light" w:eastAsia="Lato Light" w:cs="Lato Light"/>
      <w:i/>
      <w:iCs/>
      <w:color w:val="000000"/>
      <w:spacing w:val="15"/>
      <w:sz w:val="24"/>
      <w:szCs w:val="24"/>
    </w:rPr>
  </w:style>
  <w:style w:type="character" w:customStyle="1" w:styleId="SubtitleChar">
    <w:name w:val="Subtitle Char"/>
    <w:basedOn w:val="DefaultParagraphFont"/>
    <w:link w:val="Subtitle"/>
    <w:uiPriority w:val="11"/>
    <w:rsid w:val="00FC693F"/>
    <w:rPr>
      <w:rFonts w:ascii="Lato Light" w:hAnsi="Lato Light" w:eastAsia="Lato Light" w:cs="Lato Light"/>
      <w:i/>
      <w:iCs/>
      <w:color w:val="000000"/>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Lato Light" w:hAnsi="Lato Light" w:eastAsia="Lato Light" w:cs="Lato Light"/>
      <w:sz w:val="20"/>
      <w:szCs w:val="20"/>
    </w:rPr>
  </w:style>
  <w:style w:type="character" w:customStyle="1" w:styleId="MacroTextChar">
    <w:name w:val="Macro Text Char"/>
    <w:basedOn w:val="DefaultParagraphFont"/>
    <w:link w:val="MacroText"/>
    <w:uiPriority w:val="99"/>
    <w:rsid w:val="0029639D"/>
    <w:rPr>
      <w:rFonts w:ascii="Lato Light" w:hAnsi="Lato Light" w:eastAsia="Lato Light" w:cs="Lato Light"/>
      <w:sz w:val="20"/>
      <w:szCs w:val="20"/>
    </w:rPr>
  </w:style>
  <w:style w:type="paragraph" w:styleId="Quote">
    <w:name w:val="Quote"/>
    <w:basedOn w:val="Normal"/>
    <w:next w:val="Normal"/>
    <w:link w:val="QuoteChar"/>
    <w:uiPriority w:val="29"/>
    <w:qFormat/>
    <w:rsid w:val="00FC693F"/>
    <w:rPr>
      <w:i/>
      <w:iCs/>
      <w:color w:val="000000"/>
    </w:rPr>
  </w:style>
  <w:style w:type="character" w:customStyle="1" w:styleId="QuoteChar">
    <w:name w:val="Quote Char"/>
    <w:basedOn w:val="DefaultParagraphFont"/>
    <w:link w:val="Quote"/>
    <w:uiPriority w:val="29"/>
    <w:rsid w:val="00FC693F"/>
    <w:rPr>
      <w:i/>
      <w:iCs/>
      <w:color w:val="000000"/>
    </w:rPr>
  </w:style>
  <w:style w:type="character" w:customStyle="1" w:styleId="Heading4Char">
    <w:name w:val="Heading 4 Char"/>
    <w:basedOn w:val="DefaultParagraphFont"/>
    <w:link w:val="Heading4"/>
    <w:uiPriority w:val="9"/>
    <w:semiHidden/>
    <w:rsid w:val="00FC693F"/>
    <w:rPr>
      <w:rFonts w:ascii="Lato Light" w:hAnsi="Lato Light" w:eastAsia="Lato Light" w:cs="Lato Light"/>
      <w:b/>
      <w:bCs/>
      <w:i/>
      <w:iCs/>
      <w:color w:val="000000"/>
    </w:rPr>
  </w:style>
  <w:style w:type="character" w:customStyle="1" w:styleId="Heading5Char">
    <w:name w:val="Heading 5 Char"/>
    <w:basedOn w:val="DefaultParagraphFont"/>
    <w:link w:val="Heading5"/>
    <w:uiPriority w:val="9"/>
    <w:semiHidden/>
    <w:rsid w:val="00FC693F"/>
    <w:rPr>
      <w:rFonts w:ascii="Lato Light" w:hAnsi="Lato Light" w:eastAsia="Lato Light" w:cs="Lato Light"/>
      <w:color w:val="000000"/>
    </w:rPr>
  </w:style>
  <w:style w:type="character" w:customStyle="1" w:styleId="Heading6Char">
    <w:name w:val="Heading 6 Char"/>
    <w:basedOn w:val="DefaultParagraphFont"/>
    <w:link w:val="Heading6"/>
    <w:uiPriority w:val="9"/>
    <w:semiHidden/>
    <w:rsid w:val="00FC693F"/>
    <w:rPr>
      <w:rFonts w:ascii="Lato Light" w:hAnsi="Lato Light" w:eastAsia="Lato Light" w:cs="Lato Light"/>
      <w:i/>
      <w:iCs/>
      <w:color w:val="000000"/>
    </w:rPr>
  </w:style>
  <w:style w:type="character" w:customStyle="1" w:styleId="Heading7Char">
    <w:name w:val="Heading 7 Char"/>
    <w:basedOn w:val="DefaultParagraphFont"/>
    <w:link w:val="Heading7"/>
    <w:uiPriority w:val="9"/>
    <w:semiHidden/>
    <w:rsid w:val="00FC693F"/>
    <w:rPr>
      <w:rFonts w:ascii="Lato Light" w:hAnsi="Lato Light" w:eastAsia="Lato Light" w:cs="Lato Light"/>
      <w:i/>
      <w:iCs/>
      <w:color w:val="000000"/>
    </w:rPr>
  </w:style>
  <w:style w:type="character" w:customStyle="1" w:styleId="Heading8Char">
    <w:name w:val="Heading 8 Char"/>
    <w:basedOn w:val="DefaultParagraphFont"/>
    <w:link w:val="Heading8"/>
    <w:uiPriority w:val="9"/>
    <w:semiHidden/>
    <w:rsid w:val="00FC693F"/>
    <w:rPr>
      <w:rFonts w:ascii="Lato Light" w:hAnsi="Lato Light" w:eastAsia="Lato Light" w:cs="Lato Light"/>
      <w:color w:val="000000"/>
      <w:sz w:val="20"/>
      <w:szCs w:val="20"/>
    </w:rPr>
  </w:style>
  <w:style w:type="character" w:customStyle="1" w:styleId="Heading9Char">
    <w:name w:val="Heading 9 Char"/>
    <w:basedOn w:val="DefaultParagraphFont"/>
    <w:link w:val="Heading9"/>
    <w:uiPriority w:val="9"/>
    <w:semiHidden/>
    <w:rsid w:val="00FC693F"/>
    <w:rPr>
      <w:rFonts w:ascii="Lato Light" w:hAnsi="Lato Light" w:eastAsia="Lato Light" w:cs="Lato Light"/>
      <w:i/>
      <w:iCs/>
      <w:color w:val="000000"/>
      <w:sz w:val="20"/>
      <w:szCs w:val="20"/>
    </w:rPr>
  </w:style>
  <w:style w:type="paragraph" w:styleId="Caption">
    <w:name w:val="caption"/>
    <w:basedOn w:val="Normal"/>
    <w:next w:val="Normal"/>
    <w:uiPriority w:val="35"/>
    <w:semiHidden/>
    <w:unhideWhenUsed/>
    <w:qFormat/>
    <w:rsid w:val="00FC693F"/>
    <w:pPr>
      <w:spacing w:line="240" w:lineRule="auto"/>
    </w:pPr>
    <w:rPr>
      <w:b/>
      <w:bCs/>
      <w:color w:val="000000"/>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pBdr>
      <w:spacing w:before="200" w:after="280"/>
      <w:ind w:left="936" w:right="936"/>
    </w:pPr>
    <w:rPr>
      <w:b/>
      <w:bCs/>
      <w:i/>
      <w:iCs/>
      <w:color w:val="000000"/>
    </w:rPr>
  </w:style>
  <w:style w:type="character" w:customStyle="1" w:styleId="IntenseQuoteChar">
    <w:name w:val="Intense Quote Char"/>
    <w:basedOn w:val="DefaultParagraphFont"/>
    <w:link w:val="IntenseQuote"/>
    <w:uiPriority w:val="30"/>
    <w:rsid w:val="00FC693F"/>
    <w:rPr>
      <w:b/>
      <w:bCs/>
      <w:i/>
      <w:iCs/>
      <w:color w:val="000000"/>
    </w:rPr>
  </w:style>
  <w:style w:type="character" w:styleId="SubtleEmphasis">
    <w:name w:val="Subtle Emphasis"/>
    <w:basedOn w:val="DefaultParagraphFont"/>
    <w:uiPriority w:val="19"/>
    <w:qFormat/>
    <w:rsid w:val="00FC693F"/>
    <w:rPr>
      <w:i/>
      <w:iCs/>
      <w:color w:val="000000"/>
    </w:rPr>
  </w:style>
  <w:style w:type="character" w:styleId="IntenseEmphasis">
    <w:name w:val="Intense Emphasis"/>
    <w:basedOn w:val="DefaultParagraphFont"/>
    <w:uiPriority w:val="21"/>
    <w:qFormat/>
    <w:rsid w:val="00FC693F"/>
    <w:rPr>
      <w:b/>
      <w:bCs/>
      <w:i/>
      <w:iCs/>
      <w:color w:val="000000"/>
    </w:rPr>
  </w:style>
  <w:style w:type="character" w:styleId="SubtleReference">
    <w:name w:val="Subtle Reference"/>
    <w:basedOn w:val="DefaultParagraphFont"/>
    <w:uiPriority w:val="31"/>
    <w:qFormat/>
    <w:rsid w:val="00FC693F"/>
    <w:rPr>
      <w:smallCaps/>
      <w:color w:val="000000"/>
      <w:u w:val="single"/>
    </w:rPr>
  </w:style>
  <w:style w:type="character" w:styleId="IntenseReference">
    <w:name w:val="Intense Reference"/>
    <w:basedOn w:val="DefaultParagraphFont"/>
    <w:uiPriority w:val="32"/>
    <w:qFormat/>
    <w:rsid w:val="00FC693F"/>
    <w:rPr>
      <w:b/>
      <w:bCs/>
      <w:smallCaps/>
      <w:color w:val="000000"/>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000000"/>
      </w:rPr>
      <w:tblPr/>
      <w:tcPr>
        <w:shd w:val="clear" w:color="auto" w:fill="000000" w:themeFill="text1"/>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000000"/>
      </w:rPr>
      <w:tblPr/>
      <w:tcPr>
        <w:shd w:val="clear" w:color="auto" w:fill="4F81BD" w:themeFill="accent1"/>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000000"/>
      </w:rPr>
      <w:tblPr/>
      <w:tcPr>
        <w:shd w:val="clear" w:color="auto" w:fill="C0504D" w:themeFill="accent2"/>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000000"/>
      </w:rPr>
      <w:tblPr/>
      <w:tcPr>
        <w:shd w:val="clear" w:color="auto" w:fill="9BBB59" w:themeFill="accent3"/>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000000"/>
      </w:rPr>
      <w:tblPr/>
      <w:tcPr>
        <w:shd w:val="clear" w:color="auto" w:fill="8064A2" w:themeFill="accent4"/>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000000"/>
      </w:rPr>
      <w:tblPr/>
      <w:tcPr>
        <w:shd w:val="clear" w:color="auto" w:fill="4BACC6" w:themeFill="accent5"/>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000000"/>
      </w:rPr>
      <w:tblPr/>
      <w:tcPr>
        <w:shd w:val="clear" w:color="auto" w:fill="F79646" w:themeFill="accent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Lato Light" w:hAnsi="Lato Light" w:eastAsia="Lato Light" w:cs="Lato Ligh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Lato Light" w:hAnsi="Lato Light" w:eastAsia="Lato Light" w:cs="Lato Ligh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ato Light" w:hAnsi="Lato Light" w:eastAsia="Lato Light" w:cs="Lato Light"/>
        <w:b/>
        <w:bCs/>
      </w:rPr>
    </w:tblStylePr>
    <w:tblStylePr w:type="lastCol">
      <w:rPr>
        <w:rFonts w:ascii="Lato Light" w:hAnsi="Lato Light" w:eastAsia="Lato Light" w:cs="Lato Ligh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hemeFill="text1" w:themeFillTint="3F"/>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hemeFill="text1" w:themeFillTint="3F"/>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Lato Light" w:hAnsi="Lato Light" w:eastAsia="Lato Light" w:cs="Lato Ligh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Lato Light" w:hAnsi="Lato Light" w:eastAsia="Lato Light" w:cs="Lato Ligh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ato Light" w:hAnsi="Lato Light" w:eastAsia="Lato Light" w:cs="Lato Light"/>
        <w:b/>
        <w:bCs/>
      </w:rPr>
    </w:tblStylePr>
    <w:tblStylePr w:type="lastCol">
      <w:rPr>
        <w:rFonts w:ascii="Lato Light" w:hAnsi="Lato Light" w:eastAsia="Lato Light" w:cs="Lato Ligh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hemeFill="accent1" w:themeFillTint="3F"/>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hemeFill="accent1" w:themeFillTint="3F"/>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Lato Light" w:hAnsi="Lato Light" w:eastAsia="Lato Light" w:cs="Lato Ligh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Lato Light" w:hAnsi="Lato Light" w:eastAsia="Lato Light" w:cs="Lato Ligh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Lato Light" w:hAnsi="Lato Light" w:eastAsia="Lato Light" w:cs="Lato Light"/>
        <w:b/>
        <w:bCs/>
      </w:rPr>
    </w:tblStylePr>
    <w:tblStylePr w:type="lastCol">
      <w:rPr>
        <w:rFonts w:ascii="Lato Light" w:hAnsi="Lato Light" w:eastAsia="Lato Light" w:cs="Lato Ligh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hemeFill="accent2" w:themeFillTint="3F"/>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hemeFill="accent2" w:themeFillTint="3F"/>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Lato Light" w:hAnsi="Lato Light" w:eastAsia="Lato Light" w:cs="Lato Ligh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Lato Light" w:hAnsi="Lato Light" w:eastAsia="Lato Light" w:cs="Lato Ligh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Lato Light" w:hAnsi="Lato Light" w:eastAsia="Lato Light" w:cs="Lato Light"/>
        <w:b/>
        <w:bCs/>
      </w:rPr>
    </w:tblStylePr>
    <w:tblStylePr w:type="lastCol">
      <w:rPr>
        <w:rFonts w:ascii="Lato Light" w:hAnsi="Lato Light" w:eastAsia="Lato Light" w:cs="Lato Ligh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hemeFill="accent3" w:themeFillTint="3F"/>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hemeFill="accent3" w:themeFillTint="3F"/>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Lato Light" w:hAnsi="Lato Light" w:eastAsia="Lato Light" w:cs="Lato Ligh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Lato Light" w:hAnsi="Lato Light" w:eastAsia="Lato Light" w:cs="Lato Ligh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Lato Light" w:hAnsi="Lato Light" w:eastAsia="Lato Light" w:cs="Lato Light"/>
        <w:b/>
        <w:bCs/>
      </w:rPr>
    </w:tblStylePr>
    <w:tblStylePr w:type="lastCol">
      <w:rPr>
        <w:rFonts w:ascii="Lato Light" w:hAnsi="Lato Light" w:eastAsia="Lato Light" w:cs="Lato Ligh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hemeFill="accent4" w:themeFillTint="3F"/>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hemeFill="accent4" w:themeFillTint="3F"/>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Lato Light" w:hAnsi="Lato Light" w:eastAsia="Lato Light" w:cs="Lato Ligh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Lato Light" w:hAnsi="Lato Light" w:eastAsia="Lato Light" w:cs="Lato Ligh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Lato Light" w:hAnsi="Lato Light" w:eastAsia="Lato Light" w:cs="Lato Light"/>
        <w:b/>
        <w:bCs/>
      </w:rPr>
    </w:tblStylePr>
    <w:tblStylePr w:type="lastCol">
      <w:rPr>
        <w:rFonts w:ascii="Lato Light" w:hAnsi="Lato Light" w:eastAsia="Lato Light" w:cs="Lato Ligh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hemeFill="accent5" w:themeFillTint="3F"/>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hemeFill="accent5" w:themeFillTint="3F"/>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Lato Light" w:hAnsi="Lato Light" w:eastAsia="Lato Light" w:cs="Lato Ligh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Lato Light" w:hAnsi="Lato Light" w:eastAsia="Lato Light" w:cs="Lato Ligh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Lato Light" w:hAnsi="Lato Light" w:eastAsia="Lato Light" w:cs="Lato Light"/>
        <w:b/>
        <w:bCs/>
      </w:rPr>
    </w:tblStylePr>
    <w:tblStylePr w:type="lastCol">
      <w:rPr>
        <w:rFonts w:ascii="Lato Light" w:hAnsi="Lato Light" w:eastAsia="Lato Light" w:cs="Lato Ligh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hemeFill="accent6" w:themeFillTint="3F"/>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hemeFill="accent6" w:themeFillTint="3F"/>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0000"/>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000000"/>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000000"/>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000000"/>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000000"/>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000000"/>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0000"/>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000000"/>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000000"/>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0000"/>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Lato Light" w:hAnsi="Lato Light" w:eastAsia="Lato Light" w:cs="Lato Light"/>
      </w:rPr>
      <w:tblPr/>
      <w:tcPr>
        <w:tcBorders>
          <w:top w:val="nil"/>
          <w:bottom w:val="single" w:sz="8" w:space="0" w:color="000000"/>
        </w:tcBorders>
      </w:tcPr>
    </w:tblStylePr>
    <w:tblStylePr w:type="lastRow">
      <w:rPr>
        <w:b/>
        <w:bCs/>
        <w:color w:val="000000"/>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Lato Light" w:hAnsi="Lato Light" w:eastAsia="Lato Light" w:cs="Lato Light"/>
      </w:rPr>
      <w:tblPr/>
      <w:tcPr>
        <w:tcBorders>
          <w:top w:val="nil"/>
          <w:bottom w:val="single" w:sz="8" w:space="0" w:color="4F81BD"/>
        </w:tcBorders>
      </w:tcPr>
    </w:tblStylePr>
    <w:tblStylePr w:type="lastRow">
      <w:rPr>
        <w:b/>
        <w:bCs/>
        <w:color w:val="000000"/>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Lato Light" w:hAnsi="Lato Light" w:eastAsia="Lato Light" w:cs="Lato Light"/>
      </w:rPr>
      <w:tblPr/>
      <w:tcPr>
        <w:tcBorders>
          <w:top w:val="nil"/>
          <w:bottom w:val="single" w:sz="8" w:space="0" w:color="C0504D"/>
        </w:tcBorders>
      </w:tcPr>
    </w:tblStylePr>
    <w:tblStylePr w:type="lastRow">
      <w:rPr>
        <w:b/>
        <w:bCs/>
        <w:color w:val="000000"/>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Lato Light" w:hAnsi="Lato Light" w:eastAsia="Lato Light" w:cs="Lato Light"/>
      </w:rPr>
      <w:tblPr/>
      <w:tcPr>
        <w:tcBorders>
          <w:top w:val="nil"/>
          <w:bottom w:val="single" w:sz="8" w:space="0" w:color="9BBB59"/>
        </w:tcBorders>
      </w:tcPr>
    </w:tblStylePr>
    <w:tblStylePr w:type="lastRow">
      <w:rPr>
        <w:b/>
        <w:bCs/>
        <w:color w:val="000000"/>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Lato Light" w:hAnsi="Lato Light" w:eastAsia="Lato Light" w:cs="Lato Light"/>
      </w:rPr>
      <w:tblPr/>
      <w:tcPr>
        <w:tcBorders>
          <w:top w:val="nil"/>
          <w:bottom w:val="single" w:sz="8" w:space="0" w:color="8064A2"/>
        </w:tcBorders>
      </w:tcPr>
    </w:tblStylePr>
    <w:tblStylePr w:type="lastRow">
      <w:rPr>
        <w:b/>
        <w:bCs/>
        <w:color w:val="000000"/>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Lato Light" w:hAnsi="Lato Light" w:eastAsia="Lato Light" w:cs="Lato Light"/>
      </w:rPr>
      <w:tblPr/>
      <w:tcPr>
        <w:tcBorders>
          <w:top w:val="nil"/>
          <w:bottom w:val="single" w:sz="8" w:space="0" w:color="4BACC6"/>
        </w:tcBorders>
      </w:tcPr>
    </w:tblStylePr>
    <w:tblStylePr w:type="lastRow">
      <w:rPr>
        <w:b/>
        <w:bCs/>
        <w:color w:val="000000"/>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Lato Light" w:hAnsi="Lato Light" w:eastAsia="Lato Light" w:cs="Lato Light"/>
      </w:rPr>
      <w:tblPr/>
      <w:tcPr>
        <w:tcBorders>
          <w:top w:val="nil"/>
          <w:bottom w:val="single" w:sz="8" w:space="0" w:color="F79646"/>
        </w:tcBorders>
      </w:tcPr>
    </w:tblStylePr>
    <w:tblStylePr w:type="lastRow">
      <w:rPr>
        <w:b/>
        <w:bCs/>
        <w:color w:val="000000"/>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hemeFill="background1"/>
      </w:tcPr>
    </w:tblStylePr>
    <w:tblStylePr w:type="lastRow">
      <w:tblPr/>
      <w:tcPr>
        <w:tcBorders>
          <w:top w:val="single" w:sz="8" w:space="0" w:color="00000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insideH w:val="nil"/>
          <w:insideV w:val="nil"/>
        </w:tcBorders>
        <w:shd w:val="clear" w:color="auto" w:fill="FFFFFF" w:themeFill="background1"/>
      </w:tcPr>
    </w:tblStylePr>
    <w:tblStylePr w:type="lastCol">
      <w:tblPr/>
      <w:tcPr>
        <w:tcBorders>
          <w:top w:val="nil"/>
          <w:left w:val="single" w:sz="8" w:space="0" w:color="00000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hemeFill="background1"/>
      </w:tcPr>
    </w:tblStylePr>
    <w:tblStylePr w:type="lastRow">
      <w:tblPr/>
      <w:tcPr>
        <w:tcBorders>
          <w:top w:val="single" w:sz="8" w:space="0" w:color="4F81BD"/>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insideH w:val="nil"/>
          <w:insideV w:val="nil"/>
        </w:tcBorders>
        <w:shd w:val="clear" w:color="auto" w:fill="FFFFFF" w:themeFill="background1"/>
      </w:tcPr>
    </w:tblStylePr>
    <w:tblStylePr w:type="lastCol">
      <w:tblPr/>
      <w:tcPr>
        <w:tcBorders>
          <w:top w:val="nil"/>
          <w:left w:val="single" w:sz="8" w:space="0" w:color="4F81BD"/>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hemeFill="background1"/>
      </w:tcPr>
    </w:tblStylePr>
    <w:tblStylePr w:type="lastRow">
      <w:tblPr/>
      <w:tcPr>
        <w:tcBorders>
          <w:top w:val="single" w:sz="8" w:space="0" w:color="C0504D"/>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insideH w:val="nil"/>
          <w:insideV w:val="nil"/>
        </w:tcBorders>
        <w:shd w:val="clear" w:color="auto" w:fill="FFFFFF" w:themeFill="background1"/>
      </w:tcPr>
    </w:tblStylePr>
    <w:tblStylePr w:type="lastCol">
      <w:tblPr/>
      <w:tcPr>
        <w:tcBorders>
          <w:top w:val="nil"/>
          <w:left w:val="single" w:sz="8" w:space="0" w:color="C0504D"/>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hemeFill="background1"/>
      </w:tcPr>
    </w:tblStylePr>
    <w:tblStylePr w:type="lastRow">
      <w:tblPr/>
      <w:tcPr>
        <w:tcBorders>
          <w:top w:val="single" w:sz="8" w:space="0" w:color="9BBB59"/>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insideH w:val="nil"/>
          <w:insideV w:val="nil"/>
        </w:tcBorders>
        <w:shd w:val="clear" w:color="auto" w:fill="FFFFFF" w:themeFill="background1"/>
      </w:tcPr>
    </w:tblStylePr>
    <w:tblStylePr w:type="lastCol">
      <w:tblPr/>
      <w:tcPr>
        <w:tcBorders>
          <w:top w:val="nil"/>
          <w:left w:val="single" w:sz="8" w:space="0" w:color="9BBB59"/>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hemeFill="background1"/>
      </w:tcPr>
    </w:tblStylePr>
    <w:tblStylePr w:type="lastRow">
      <w:tblPr/>
      <w:tcPr>
        <w:tcBorders>
          <w:top w:val="single" w:sz="8" w:space="0" w:color="8064A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insideH w:val="nil"/>
          <w:insideV w:val="nil"/>
        </w:tcBorders>
        <w:shd w:val="clear" w:color="auto" w:fill="FFFFFF" w:themeFill="background1"/>
      </w:tcPr>
    </w:tblStylePr>
    <w:tblStylePr w:type="lastCol">
      <w:tblPr/>
      <w:tcPr>
        <w:tcBorders>
          <w:top w:val="nil"/>
          <w:left w:val="single" w:sz="8" w:space="0" w:color="8064A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hemeFill="background1"/>
      </w:tcPr>
    </w:tblStylePr>
    <w:tblStylePr w:type="lastRow">
      <w:tblPr/>
      <w:tcPr>
        <w:tcBorders>
          <w:top w:val="single" w:sz="8" w:space="0" w:color="4BACC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insideH w:val="nil"/>
          <w:insideV w:val="nil"/>
        </w:tcBorders>
        <w:shd w:val="clear" w:color="auto" w:fill="FFFFFF" w:themeFill="background1"/>
      </w:tcPr>
    </w:tblStylePr>
    <w:tblStylePr w:type="lastCol">
      <w:tblPr/>
      <w:tcPr>
        <w:tcBorders>
          <w:top w:val="nil"/>
          <w:left w:val="single" w:sz="8" w:space="0" w:color="4BACC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hemeFill="background1"/>
      </w:tcPr>
    </w:tblStylePr>
    <w:tblStylePr w:type="lastRow">
      <w:tblPr/>
      <w:tcPr>
        <w:tcBorders>
          <w:top w:val="single" w:sz="8" w:space="0" w:color="F7964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insideH w:val="nil"/>
          <w:insideV w:val="nil"/>
        </w:tcBorders>
        <w:shd w:val="clear" w:color="auto" w:fill="FFFFFF" w:themeFill="background1"/>
      </w:tcPr>
    </w:tblStylePr>
    <w:tblStylePr w:type="lastCol">
      <w:tblPr/>
      <w:tcPr>
        <w:tcBorders>
          <w:top w:val="nil"/>
          <w:left w:val="single" w:sz="8" w:space="0" w:color="F7964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hemeFill="text1" w:themeFillTint="3F"/>
    </w:tcPr>
    <w:tblStylePr w:type="firstRow">
      <w:rPr>
        <w:b/>
        <w:bCs/>
        <w:color w:val="000000"/>
      </w:rPr>
      <w:tblPr/>
      <w:tcPr>
        <w:shd w:val="clear" w:color="auto" w:fill="E6E6E6" w:themeFill="text1" w:themeFillTint="19"/>
      </w:tcPr>
    </w:tblStylePr>
    <w:tblStylePr w:type="lastRow">
      <w:rPr>
        <w:b/>
        <w:bCs/>
        <w:color w:val="000000"/>
      </w:rPr>
      <w:tblPr/>
      <w:tcPr>
        <w:tcBorders>
          <w:top w:val="single" w:sz="12" w:space="0" w:color="000000"/>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insideV w:val="single" w:sz="6" w:space="0" w:color="00000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hemeFill="accent1" w:themeFillTint="3F"/>
    </w:tcPr>
    <w:tblStylePr w:type="firstRow">
      <w:rPr>
        <w:b/>
        <w:bCs/>
        <w:color w:val="000000"/>
      </w:rPr>
      <w:tblPr/>
      <w:tcPr>
        <w:shd w:val="clear" w:color="auto" w:fill="EDF2F8" w:themeFill="accent1" w:themeFillTint="19"/>
      </w:tcPr>
    </w:tblStylePr>
    <w:tblStylePr w:type="lastRow">
      <w:rPr>
        <w:b/>
        <w:bCs/>
        <w:color w:val="000000"/>
      </w:rPr>
      <w:tblPr/>
      <w:tcPr>
        <w:tcBorders>
          <w:top w:val="single" w:sz="12" w:space="0" w:color="000000"/>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insideV w:val="single" w:sz="6" w:space="0" w:color="4F81BD"/>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hemeFill="accent2" w:themeFillTint="3F"/>
    </w:tcPr>
    <w:tblStylePr w:type="firstRow">
      <w:rPr>
        <w:b/>
        <w:bCs/>
        <w:color w:val="000000"/>
      </w:rPr>
      <w:tblPr/>
      <w:tcPr>
        <w:shd w:val="clear" w:color="auto" w:fill="F8EDED" w:themeFill="accent2" w:themeFillTint="19"/>
      </w:tcPr>
    </w:tblStylePr>
    <w:tblStylePr w:type="lastRow">
      <w:rPr>
        <w:b/>
        <w:bCs/>
        <w:color w:val="000000"/>
      </w:rPr>
      <w:tblPr/>
      <w:tcPr>
        <w:tcBorders>
          <w:top w:val="single" w:sz="12" w:space="0" w:color="000000"/>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insideV w:val="single" w:sz="6" w:space="0" w:color="C0504D"/>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hemeFill="accent3" w:themeFillTint="3F"/>
    </w:tcPr>
    <w:tblStylePr w:type="firstRow">
      <w:rPr>
        <w:b/>
        <w:bCs/>
        <w:color w:val="000000"/>
      </w:rPr>
      <w:tblPr/>
      <w:tcPr>
        <w:shd w:val="clear" w:color="auto" w:fill="F5F8EE" w:themeFill="accent3" w:themeFillTint="19"/>
      </w:tcPr>
    </w:tblStylePr>
    <w:tblStylePr w:type="lastRow">
      <w:rPr>
        <w:b/>
        <w:bCs/>
        <w:color w:val="000000"/>
      </w:rPr>
      <w:tblPr/>
      <w:tcPr>
        <w:tcBorders>
          <w:top w:val="single" w:sz="12" w:space="0" w:color="000000"/>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insideV w:val="single" w:sz="6" w:space="0" w:color="9BBB59"/>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hemeFill="accent4" w:themeFillTint="3F"/>
    </w:tcPr>
    <w:tblStylePr w:type="firstRow">
      <w:rPr>
        <w:b/>
        <w:bCs/>
        <w:color w:val="000000"/>
      </w:rPr>
      <w:tblPr/>
      <w:tcPr>
        <w:shd w:val="clear" w:color="auto" w:fill="F2EFF6" w:themeFill="accent4" w:themeFillTint="19"/>
      </w:tcPr>
    </w:tblStylePr>
    <w:tblStylePr w:type="lastRow">
      <w:rPr>
        <w:b/>
        <w:bCs/>
        <w:color w:val="000000"/>
      </w:rPr>
      <w:tblPr/>
      <w:tcPr>
        <w:tcBorders>
          <w:top w:val="single" w:sz="12" w:space="0" w:color="000000"/>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insideV w:val="single" w:sz="6" w:space="0" w:color="8064A2"/>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hemeFill="accent5" w:themeFillTint="3F"/>
    </w:tcPr>
    <w:tblStylePr w:type="firstRow">
      <w:rPr>
        <w:b/>
        <w:bCs/>
        <w:color w:val="000000"/>
      </w:rPr>
      <w:tblPr/>
      <w:tcPr>
        <w:shd w:val="clear" w:color="auto" w:fill="EDF6F9" w:themeFill="accent5" w:themeFillTint="19"/>
      </w:tcPr>
    </w:tblStylePr>
    <w:tblStylePr w:type="lastRow">
      <w:rPr>
        <w:b/>
        <w:bCs/>
        <w:color w:val="000000"/>
      </w:rPr>
      <w:tblPr/>
      <w:tcPr>
        <w:tcBorders>
          <w:top w:val="single" w:sz="12" w:space="0" w:color="000000"/>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insideV w:val="single" w:sz="6" w:space="0" w:color="4BACC6"/>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Lato Light" w:hAnsi="Lato Light" w:eastAsia="Lato Light" w:cs="Lato Light"/>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hemeFill="accent6" w:themeFillTint="3F"/>
    </w:tcPr>
    <w:tblStylePr w:type="firstRow">
      <w:rPr>
        <w:b/>
        <w:bCs/>
        <w:color w:val="000000"/>
      </w:rPr>
      <w:tblPr/>
      <w:tcPr>
        <w:shd w:val="clear" w:color="auto" w:fill="FEF4EC" w:themeFill="accent6" w:themeFillTint="19"/>
      </w:tcPr>
    </w:tblStylePr>
    <w:tblStylePr w:type="lastRow">
      <w:rPr>
        <w:b/>
        <w:bCs/>
        <w:color w:val="000000"/>
      </w:rPr>
      <w:tblPr/>
      <w:tcPr>
        <w:tcBorders>
          <w:top w:val="single" w:sz="12" w:space="0" w:color="000000"/>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insideV w:val="single" w:sz="6" w:space="0" w:color="F7964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hemeFill="text1" w:themeFillTint="3F"/>
    </w:tcPr>
    <w:tblStylePr w:type="firstRow">
      <w:rPr>
        <w:b/>
        <w:bCs/>
        <w:i w:val="0"/>
        <w:iCs w:val="0"/>
        <w:color w:val="00000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hemeFill="text1"/>
      </w:tcPr>
    </w:tblStylePr>
    <w:tblStylePr w:type="lastRow">
      <w:rPr>
        <w:b/>
        <w:bCs/>
        <w:i w:val="0"/>
        <w:iCs w:val="0"/>
        <w:color w:val="000000"/>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hemeFill="text1"/>
      </w:tcPr>
    </w:tblStylePr>
    <w:tblStylePr w:type="firstCol">
      <w:rPr>
        <w:b/>
        <w:bCs/>
        <w:i w:val="0"/>
        <w:iCs w:val="0"/>
        <w:color w:val="000000"/>
      </w:rPr>
      <w:tblPr/>
      <w:tcPr>
        <w:tcBorders>
          <w:left w:val="single" w:sz="8" w:space="0" w:color="FFFFFF"/>
          <w:right w:val="single" w:sz="24" w:space="0" w:color="FFFFFF"/>
          <w:insideH w:val="nil"/>
          <w:insideV w:val="nil"/>
        </w:tcBorders>
        <w:shd w:val="clear" w:color="auto" w:fill="000000" w:themeFill="text1"/>
      </w:tcPr>
    </w:tblStylePr>
    <w:tblStylePr w:type="lastCol">
      <w:rPr>
        <w:b/>
        <w:bCs/>
        <w:i w:val="0"/>
        <w:iCs w:val="0"/>
        <w:color w:val="000000"/>
      </w:rPr>
      <w:tblPr/>
      <w:tcPr>
        <w:tcBorders>
          <w:top w:val="nil"/>
          <w:left w:val="single" w:sz="24" w:space="0" w:color="FFFFFF"/>
          <w:bottom w:val="nil"/>
          <w:right w:val="nil"/>
          <w:insideH w:val="nil"/>
          <w:insideV w:val="nil"/>
        </w:tcBorders>
        <w:shd w:val="clear" w:color="auto" w:fill="000000" w:themeFill="text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hemeFill="text1" w:themeFillTint="7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00000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hemeFill="accent1"/>
      </w:tcPr>
    </w:tblStylePr>
    <w:tblStylePr w:type="lastRow">
      <w:rPr>
        <w:b/>
        <w:bCs/>
        <w:i w:val="0"/>
        <w:iCs w:val="0"/>
        <w:color w:val="000000"/>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hemeFill="accent1"/>
      </w:tcPr>
    </w:tblStylePr>
    <w:tblStylePr w:type="firstCol">
      <w:rPr>
        <w:b/>
        <w:bCs/>
        <w:i w:val="0"/>
        <w:iCs w:val="0"/>
        <w:color w:val="000000"/>
      </w:rPr>
      <w:tblPr/>
      <w:tcPr>
        <w:tcBorders>
          <w:left w:val="single" w:sz="8" w:space="0" w:color="FFFFFF"/>
          <w:right w:val="single" w:sz="24" w:space="0" w:color="FFFFFF"/>
          <w:insideH w:val="nil"/>
          <w:insideV w:val="nil"/>
        </w:tcBorders>
        <w:shd w:val="clear" w:color="auto" w:fill="4F81BD" w:themeFill="accent1"/>
      </w:tcPr>
    </w:tblStylePr>
    <w:tblStylePr w:type="lastCol">
      <w:rPr>
        <w:b/>
        <w:bCs/>
        <w:i w:val="0"/>
        <w:iCs w:val="0"/>
        <w:color w:val="000000"/>
      </w:rPr>
      <w:tblPr/>
      <w:tcPr>
        <w:tcBorders>
          <w:top w:val="nil"/>
          <w:left w:val="single" w:sz="24" w:space="0" w:color="FFFFFF"/>
          <w:bottom w:val="nil"/>
          <w:right w:val="nil"/>
          <w:insideH w:val="nil"/>
          <w:insideV w:val="nil"/>
        </w:tcBorders>
        <w:shd w:val="clear" w:color="auto" w:fill="4F81BD" w:themeFill="accent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hemeFill="accent1" w:themeFillTint="7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00000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hemeFill="accent2"/>
      </w:tcPr>
    </w:tblStylePr>
    <w:tblStylePr w:type="lastRow">
      <w:rPr>
        <w:b/>
        <w:bCs/>
        <w:i w:val="0"/>
        <w:iCs w:val="0"/>
        <w:color w:val="000000"/>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hemeFill="accent2"/>
      </w:tcPr>
    </w:tblStylePr>
    <w:tblStylePr w:type="firstCol">
      <w:rPr>
        <w:b/>
        <w:bCs/>
        <w:i w:val="0"/>
        <w:iCs w:val="0"/>
        <w:color w:val="000000"/>
      </w:rPr>
      <w:tblPr/>
      <w:tcPr>
        <w:tcBorders>
          <w:left w:val="single" w:sz="8" w:space="0" w:color="FFFFFF"/>
          <w:right w:val="single" w:sz="24" w:space="0" w:color="FFFFFF"/>
          <w:insideH w:val="nil"/>
          <w:insideV w:val="nil"/>
        </w:tcBorders>
        <w:shd w:val="clear" w:color="auto" w:fill="C0504D" w:themeFill="accent2"/>
      </w:tcPr>
    </w:tblStylePr>
    <w:tblStylePr w:type="lastCol">
      <w:rPr>
        <w:b/>
        <w:bCs/>
        <w:i w:val="0"/>
        <w:iCs w:val="0"/>
        <w:color w:val="000000"/>
      </w:rPr>
      <w:tblPr/>
      <w:tcPr>
        <w:tcBorders>
          <w:top w:val="nil"/>
          <w:left w:val="single" w:sz="24" w:space="0" w:color="FFFFFF"/>
          <w:bottom w:val="nil"/>
          <w:right w:val="nil"/>
          <w:insideH w:val="nil"/>
          <w:insideV w:val="nil"/>
        </w:tcBorders>
        <w:shd w:val="clear" w:color="auto" w:fill="C0504D" w:themeFill="accent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hemeFill="accent2" w:themeFillTint="7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00000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hemeFill="accent3"/>
      </w:tcPr>
    </w:tblStylePr>
    <w:tblStylePr w:type="lastRow">
      <w:rPr>
        <w:b/>
        <w:bCs/>
        <w:i w:val="0"/>
        <w:iCs w:val="0"/>
        <w:color w:val="000000"/>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hemeFill="accent3"/>
      </w:tcPr>
    </w:tblStylePr>
    <w:tblStylePr w:type="firstCol">
      <w:rPr>
        <w:b/>
        <w:bCs/>
        <w:i w:val="0"/>
        <w:iCs w:val="0"/>
        <w:color w:val="000000"/>
      </w:rPr>
      <w:tblPr/>
      <w:tcPr>
        <w:tcBorders>
          <w:left w:val="single" w:sz="8" w:space="0" w:color="FFFFFF"/>
          <w:right w:val="single" w:sz="24" w:space="0" w:color="FFFFFF"/>
          <w:insideH w:val="nil"/>
          <w:insideV w:val="nil"/>
        </w:tcBorders>
        <w:shd w:val="clear" w:color="auto" w:fill="9BBB59" w:themeFill="accent3"/>
      </w:tcPr>
    </w:tblStylePr>
    <w:tblStylePr w:type="lastCol">
      <w:rPr>
        <w:b/>
        <w:bCs/>
        <w:i w:val="0"/>
        <w:iCs w:val="0"/>
        <w:color w:val="000000"/>
      </w:rPr>
      <w:tblPr/>
      <w:tcPr>
        <w:tcBorders>
          <w:top w:val="nil"/>
          <w:left w:val="single" w:sz="24" w:space="0" w:color="FFFFFF"/>
          <w:bottom w:val="nil"/>
          <w:right w:val="nil"/>
          <w:insideH w:val="nil"/>
          <w:insideV w:val="nil"/>
        </w:tcBorders>
        <w:shd w:val="clear" w:color="auto" w:fill="9BBB59" w:themeFill="accent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hemeFill="accent3" w:themeFillTint="7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00000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hemeFill="accent4"/>
      </w:tcPr>
    </w:tblStylePr>
    <w:tblStylePr w:type="lastRow">
      <w:rPr>
        <w:b/>
        <w:bCs/>
        <w:i w:val="0"/>
        <w:iCs w:val="0"/>
        <w:color w:val="000000"/>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hemeFill="accent4"/>
      </w:tcPr>
    </w:tblStylePr>
    <w:tblStylePr w:type="firstCol">
      <w:rPr>
        <w:b/>
        <w:bCs/>
        <w:i w:val="0"/>
        <w:iCs w:val="0"/>
        <w:color w:val="000000"/>
      </w:rPr>
      <w:tblPr/>
      <w:tcPr>
        <w:tcBorders>
          <w:left w:val="single" w:sz="8" w:space="0" w:color="FFFFFF"/>
          <w:right w:val="single" w:sz="24" w:space="0" w:color="FFFFFF"/>
          <w:insideH w:val="nil"/>
          <w:insideV w:val="nil"/>
        </w:tcBorders>
        <w:shd w:val="clear" w:color="auto" w:fill="8064A2" w:themeFill="accent4"/>
      </w:tcPr>
    </w:tblStylePr>
    <w:tblStylePr w:type="lastCol">
      <w:rPr>
        <w:b/>
        <w:bCs/>
        <w:i w:val="0"/>
        <w:iCs w:val="0"/>
        <w:color w:val="000000"/>
      </w:rPr>
      <w:tblPr/>
      <w:tcPr>
        <w:tcBorders>
          <w:top w:val="nil"/>
          <w:left w:val="single" w:sz="24" w:space="0" w:color="FFFFFF"/>
          <w:bottom w:val="nil"/>
          <w:right w:val="nil"/>
          <w:insideH w:val="nil"/>
          <w:insideV w:val="nil"/>
        </w:tcBorders>
        <w:shd w:val="clear" w:color="auto" w:fill="8064A2" w:themeFill="accent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hemeFill="accent4" w:themeFillTint="7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00000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hemeFill="accent5"/>
      </w:tcPr>
    </w:tblStylePr>
    <w:tblStylePr w:type="lastRow">
      <w:rPr>
        <w:b/>
        <w:bCs/>
        <w:i w:val="0"/>
        <w:iCs w:val="0"/>
        <w:color w:val="000000"/>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hemeFill="accent5"/>
      </w:tcPr>
    </w:tblStylePr>
    <w:tblStylePr w:type="firstCol">
      <w:rPr>
        <w:b/>
        <w:bCs/>
        <w:i w:val="0"/>
        <w:iCs w:val="0"/>
        <w:color w:val="000000"/>
      </w:rPr>
      <w:tblPr/>
      <w:tcPr>
        <w:tcBorders>
          <w:left w:val="single" w:sz="8" w:space="0" w:color="FFFFFF"/>
          <w:right w:val="single" w:sz="24" w:space="0" w:color="FFFFFF"/>
          <w:insideH w:val="nil"/>
          <w:insideV w:val="nil"/>
        </w:tcBorders>
        <w:shd w:val="clear" w:color="auto" w:fill="4BACC6" w:themeFill="accent5"/>
      </w:tcPr>
    </w:tblStylePr>
    <w:tblStylePr w:type="lastCol">
      <w:rPr>
        <w:b/>
        <w:bCs/>
        <w:i w:val="0"/>
        <w:iCs w:val="0"/>
        <w:color w:val="000000"/>
      </w:rPr>
      <w:tblPr/>
      <w:tcPr>
        <w:tcBorders>
          <w:top w:val="nil"/>
          <w:left w:val="single" w:sz="24" w:space="0" w:color="FFFFFF"/>
          <w:bottom w:val="nil"/>
          <w:right w:val="nil"/>
          <w:insideH w:val="nil"/>
          <w:insideV w:val="nil"/>
        </w:tcBorders>
        <w:shd w:val="clear" w:color="auto" w:fill="4BACC6" w:themeFill="accent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hemeFill="accent5" w:themeFillTint="7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00000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hemeFill="accent6"/>
      </w:tcPr>
    </w:tblStylePr>
    <w:tblStylePr w:type="lastRow">
      <w:rPr>
        <w:b/>
        <w:bCs/>
        <w:i w:val="0"/>
        <w:iCs w:val="0"/>
        <w:color w:val="000000"/>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hemeFill="accent6"/>
      </w:tcPr>
    </w:tblStylePr>
    <w:tblStylePr w:type="firstCol">
      <w:rPr>
        <w:b/>
        <w:bCs/>
        <w:i w:val="0"/>
        <w:iCs w:val="0"/>
        <w:color w:val="000000"/>
      </w:rPr>
      <w:tblPr/>
      <w:tcPr>
        <w:tcBorders>
          <w:left w:val="single" w:sz="8" w:space="0" w:color="FFFFFF"/>
          <w:right w:val="single" w:sz="24" w:space="0" w:color="FFFFFF"/>
          <w:insideH w:val="nil"/>
          <w:insideV w:val="nil"/>
        </w:tcBorders>
        <w:shd w:val="clear" w:color="auto" w:fill="F79646" w:themeFill="accent6"/>
      </w:tcPr>
    </w:tblStylePr>
    <w:tblStylePr w:type="lastCol">
      <w:rPr>
        <w:b/>
        <w:bCs/>
        <w:i w:val="0"/>
        <w:iCs w:val="0"/>
        <w:color w:val="000000"/>
      </w:rPr>
      <w:tblPr/>
      <w:tcPr>
        <w:tcBorders>
          <w:top w:val="nil"/>
          <w:left w:val="single" w:sz="24" w:space="0" w:color="FFFFFF"/>
          <w:bottom w:val="nil"/>
          <w:right w:val="nil"/>
          <w:insideH w:val="nil"/>
          <w:insideV w:val="nil"/>
        </w:tcBorders>
        <w:shd w:val="clear" w:color="auto" w:fill="F79646" w:themeFill="accent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hemeFill="accent6" w:themeFillTint="7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right w:val="nil"/>
          <w:insideH w:val="nil"/>
          <w:insideV w:val="nil"/>
        </w:tcBorders>
        <w:shd w:val="clear" w:color="auto" w:fill="000000" w:themeFill="text1"/>
      </w:tcPr>
    </w:tblStylePr>
    <w:tblStylePr w:type="lastRow">
      <w:tblPr/>
      <w:tcPr>
        <w:tcBorders>
          <w:top w:val="single" w:sz="18" w:space="0" w:color="FFFFFF"/>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insideH w:val="nil"/>
          <w:insideV w:val="nil"/>
        </w:tcBorders>
        <w:shd w:val="clear" w:color="auto" w:fill="000000" w:themeFill="text1" w:themeFillShade="BF"/>
      </w:tcPr>
    </w:tblStylePr>
    <w:tblStylePr w:type="lastCol">
      <w:tblPr/>
      <w:tcPr>
        <w:tcBorders>
          <w:top w:val="nil"/>
          <w:left w:val="single" w:sz="18" w:space="0" w:color="FFFFFF"/>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right w:val="nil"/>
          <w:insideH w:val="nil"/>
          <w:insideV w:val="nil"/>
        </w:tcBorders>
        <w:shd w:val="clear" w:color="auto" w:fill="000000" w:themeFill="text1"/>
      </w:tcPr>
    </w:tblStylePr>
    <w:tblStylePr w:type="lastRow">
      <w:tblPr/>
      <w:tcPr>
        <w:tcBorders>
          <w:top w:val="single" w:sz="18" w:space="0" w:color="FFFFFF"/>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insideH w:val="nil"/>
          <w:insideV w:val="nil"/>
        </w:tcBorders>
        <w:shd w:val="clear" w:color="auto" w:fill="365F91" w:themeFill="accent1" w:themeFillShade="BF"/>
      </w:tcPr>
    </w:tblStylePr>
    <w:tblStylePr w:type="lastCol">
      <w:tblPr/>
      <w:tcPr>
        <w:tcBorders>
          <w:top w:val="nil"/>
          <w:left w:val="single" w:sz="18" w:space="0" w:color="FFFFFF"/>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right w:val="nil"/>
          <w:insideH w:val="nil"/>
          <w:insideV w:val="nil"/>
        </w:tcBorders>
        <w:shd w:val="clear" w:color="auto" w:fill="000000" w:themeFill="text1"/>
      </w:tcPr>
    </w:tblStylePr>
    <w:tblStylePr w:type="lastRow">
      <w:tblPr/>
      <w:tcPr>
        <w:tcBorders>
          <w:top w:val="single" w:sz="18" w:space="0" w:color="FFFFFF"/>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insideH w:val="nil"/>
          <w:insideV w:val="nil"/>
        </w:tcBorders>
        <w:shd w:val="clear" w:color="auto" w:fill="943634" w:themeFill="accent2" w:themeFillShade="BF"/>
      </w:tcPr>
    </w:tblStylePr>
    <w:tblStylePr w:type="lastCol">
      <w:tblPr/>
      <w:tcPr>
        <w:tcBorders>
          <w:top w:val="nil"/>
          <w:left w:val="single" w:sz="18" w:space="0" w:color="FFFFFF"/>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right w:val="nil"/>
          <w:insideH w:val="nil"/>
          <w:insideV w:val="nil"/>
        </w:tcBorders>
        <w:shd w:val="clear" w:color="auto" w:fill="000000" w:themeFill="text1"/>
      </w:tcPr>
    </w:tblStylePr>
    <w:tblStylePr w:type="lastRow">
      <w:tblPr/>
      <w:tcPr>
        <w:tcBorders>
          <w:top w:val="single" w:sz="18" w:space="0" w:color="FFFFFF"/>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insideH w:val="nil"/>
          <w:insideV w:val="nil"/>
        </w:tcBorders>
        <w:shd w:val="clear" w:color="auto" w:fill="76923C" w:themeFill="accent3" w:themeFillShade="BF"/>
      </w:tcPr>
    </w:tblStylePr>
    <w:tblStylePr w:type="lastCol">
      <w:tblPr/>
      <w:tcPr>
        <w:tcBorders>
          <w:top w:val="nil"/>
          <w:left w:val="single" w:sz="18" w:space="0" w:color="FFFFFF"/>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right w:val="nil"/>
          <w:insideH w:val="nil"/>
          <w:insideV w:val="nil"/>
        </w:tcBorders>
        <w:shd w:val="clear" w:color="auto" w:fill="000000" w:themeFill="text1"/>
      </w:tcPr>
    </w:tblStylePr>
    <w:tblStylePr w:type="lastRow">
      <w:tblPr/>
      <w:tcPr>
        <w:tcBorders>
          <w:top w:val="single" w:sz="18" w:space="0" w:color="FFFFFF"/>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insideH w:val="nil"/>
          <w:insideV w:val="nil"/>
        </w:tcBorders>
        <w:shd w:val="clear" w:color="auto" w:fill="5F497A" w:themeFill="accent4" w:themeFillShade="BF"/>
      </w:tcPr>
    </w:tblStylePr>
    <w:tblStylePr w:type="lastCol">
      <w:tblPr/>
      <w:tcPr>
        <w:tcBorders>
          <w:top w:val="nil"/>
          <w:left w:val="single" w:sz="18" w:space="0" w:color="FFFFFF"/>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right w:val="nil"/>
          <w:insideH w:val="nil"/>
          <w:insideV w:val="nil"/>
        </w:tcBorders>
        <w:shd w:val="clear" w:color="auto" w:fill="000000" w:themeFill="text1"/>
      </w:tcPr>
    </w:tblStylePr>
    <w:tblStylePr w:type="lastRow">
      <w:tblPr/>
      <w:tcPr>
        <w:tcBorders>
          <w:top w:val="single" w:sz="18" w:space="0" w:color="FFFFFF"/>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insideH w:val="nil"/>
          <w:insideV w:val="nil"/>
        </w:tcBorders>
        <w:shd w:val="clear" w:color="auto" w:fill="31849B" w:themeFill="accent5" w:themeFillShade="BF"/>
      </w:tcPr>
    </w:tblStylePr>
    <w:tblStylePr w:type="lastCol">
      <w:tblPr/>
      <w:tcPr>
        <w:tcBorders>
          <w:top w:val="nil"/>
          <w:left w:val="single" w:sz="18" w:space="0" w:color="FFFFFF"/>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right w:val="nil"/>
          <w:insideH w:val="nil"/>
          <w:insideV w:val="nil"/>
        </w:tcBorders>
        <w:shd w:val="clear" w:color="auto" w:fill="000000" w:themeFill="text1"/>
      </w:tcPr>
    </w:tblStylePr>
    <w:tblStylePr w:type="lastRow">
      <w:tblPr/>
      <w:tcPr>
        <w:tcBorders>
          <w:top w:val="single" w:sz="18" w:space="0" w:color="FFFFFF"/>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insideH w:val="nil"/>
          <w:insideV w:val="nil"/>
        </w:tcBorders>
        <w:shd w:val="clear" w:color="auto" w:fill="E36C0A" w:themeFill="accent6" w:themeFillShade="BF"/>
      </w:tcPr>
    </w:tblStylePr>
    <w:tblStylePr w:type="lastCol">
      <w:tblPr/>
      <w:tcPr>
        <w:tcBorders>
          <w:top w:val="nil"/>
          <w:left w:val="single" w:sz="18" w:space="0" w:color="FFFFFF"/>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right w:val="nil"/>
          <w:insideH w:val="nil"/>
          <w:insideV w:val="nil"/>
        </w:tcBorders>
        <w:shd w:val="clear" w:color="auto" w:fill="FFFFFF" w:themeFill="background1"/>
      </w:tcPr>
    </w:tblStylePr>
    <w:tblStylePr w:type="lastRow">
      <w:rPr>
        <w:b/>
        <w:bCs/>
        <w:color w:val="000000"/>
      </w:rPr>
      <w:tblPr/>
      <w:tcPr>
        <w:tcBorders>
          <w:top w:val="single" w:sz="6" w:space="0" w:color="FFFFFF"/>
        </w:tcBorders>
        <w:shd w:val="clear" w:color="auto" w:fill="000000" w:themeFill="text1" w:themeFillShade="99"/>
      </w:tcPr>
    </w:tblStylePr>
    <w:tblStylePr w:type="firstCol">
      <w:rPr>
        <w:color w:val="000000"/>
      </w:rPr>
      <w:tblPr/>
      <w:tcPr>
        <w:tcBorders>
          <w:top w:val="nil"/>
          <w:left w:val="nil"/>
          <w:bottom w:val="nil"/>
          <w:right w:val="nil"/>
          <w:insideH w:val="single" w:sz="4" w:space="0" w:color="000000"/>
          <w:insideV w:val="nil"/>
        </w:tcBorders>
        <w:shd w:val="clear" w:color="auto" w:fill="000000" w:themeFill="text1" w:themeFillShade="99"/>
      </w:tcPr>
    </w:tblStylePr>
    <w:tblStylePr w:type="lastCol">
      <w:rPr>
        <w:color w:val="000000"/>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right w:val="nil"/>
          <w:insideH w:val="nil"/>
          <w:insideV w:val="nil"/>
        </w:tcBorders>
        <w:shd w:val="clear" w:color="auto" w:fill="FFFFFF" w:themeFill="background1"/>
      </w:tcPr>
    </w:tblStylePr>
    <w:tblStylePr w:type="lastRow">
      <w:rPr>
        <w:b/>
        <w:bCs/>
        <w:color w:val="000000"/>
      </w:rPr>
      <w:tblPr/>
      <w:tcPr>
        <w:tcBorders>
          <w:top w:val="single" w:sz="6" w:space="0" w:color="FFFFFF"/>
        </w:tcBorders>
        <w:shd w:val="clear" w:color="auto" w:fill="2C4C74" w:themeFill="accent1" w:themeFillShade="99"/>
      </w:tcPr>
    </w:tblStylePr>
    <w:tblStylePr w:type="firstCol">
      <w:rPr>
        <w:color w:val="000000"/>
      </w:rPr>
      <w:tblPr/>
      <w:tcPr>
        <w:tcBorders>
          <w:top w:val="nil"/>
          <w:left w:val="nil"/>
          <w:bottom w:val="nil"/>
          <w:right w:val="nil"/>
          <w:insideH w:val="single" w:sz="4" w:space="0" w:color="2C4C74"/>
          <w:insideV w:val="nil"/>
        </w:tcBorders>
        <w:shd w:val="clear" w:color="auto" w:fill="2C4C74" w:themeFill="accent1" w:themeFillShade="99"/>
      </w:tcPr>
    </w:tblStylePr>
    <w:tblStylePr w:type="lastCol">
      <w:rPr>
        <w:color w:val="000000"/>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right w:val="nil"/>
          <w:insideH w:val="nil"/>
          <w:insideV w:val="nil"/>
        </w:tcBorders>
        <w:shd w:val="clear" w:color="auto" w:fill="FFFFFF" w:themeFill="background1"/>
      </w:tcPr>
    </w:tblStylePr>
    <w:tblStylePr w:type="lastRow">
      <w:rPr>
        <w:b/>
        <w:bCs/>
        <w:color w:val="000000"/>
      </w:rPr>
      <w:tblPr/>
      <w:tcPr>
        <w:tcBorders>
          <w:top w:val="single" w:sz="6" w:space="0" w:color="FFFFFF"/>
        </w:tcBorders>
        <w:shd w:val="clear" w:color="auto" w:fill="772C2A" w:themeFill="accent2" w:themeFillShade="99"/>
      </w:tcPr>
    </w:tblStylePr>
    <w:tblStylePr w:type="firstCol">
      <w:rPr>
        <w:color w:val="000000"/>
      </w:rPr>
      <w:tblPr/>
      <w:tcPr>
        <w:tcBorders>
          <w:top w:val="nil"/>
          <w:left w:val="nil"/>
          <w:bottom w:val="nil"/>
          <w:right w:val="nil"/>
          <w:insideH w:val="single" w:sz="4" w:space="0" w:color="772C2A"/>
          <w:insideV w:val="nil"/>
        </w:tcBorders>
        <w:shd w:val="clear" w:color="auto" w:fill="772C2A" w:themeFill="accent2" w:themeFillShade="99"/>
      </w:tcPr>
    </w:tblStylePr>
    <w:tblStylePr w:type="lastCol">
      <w:rPr>
        <w:color w:val="000000"/>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CB0664"/>
    <w:pPr>
      <w:spacing w:after="0" w:line="240" w:lineRule="auto"/>
    </w:pPr>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right w:val="nil"/>
          <w:insideH w:val="nil"/>
          <w:insideV w:val="nil"/>
        </w:tcBorders>
        <w:shd w:val="clear" w:color="auto" w:fill="FFFFFF" w:themeFill="background1"/>
      </w:tcPr>
    </w:tblStylePr>
    <w:tblStylePr w:type="lastRow">
      <w:rPr>
        <w:b/>
        <w:bCs/>
        <w:color w:val="000000"/>
      </w:rPr>
      <w:tblPr/>
      <w:tcPr>
        <w:tcBorders>
          <w:top w:val="single" w:sz="6" w:space="0" w:color="FFFFFF"/>
        </w:tcBorders>
        <w:shd w:val="clear" w:color="auto" w:fill="5E7530" w:themeFill="accent3" w:themeFillShade="99"/>
      </w:tcPr>
    </w:tblStylePr>
    <w:tblStylePr w:type="firstCol">
      <w:rPr>
        <w:color w:val="000000"/>
      </w:rPr>
      <w:tblPr/>
      <w:tcPr>
        <w:tcBorders>
          <w:top w:val="nil"/>
          <w:left w:val="nil"/>
          <w:bottom w:val="nil"/>
          <w:right w:val="nil"/>
          <w:insideH w:val="single" w:sz="4" w:space="0" w:color="5E7530"/>
          <w:insideV w:val="nil"/>
        </w:tcBorders>
        <w:shd w:val="clear" w:color="auto" w:fill="5E7530" w:themeFill="accent3" w:themeFillShade="99"/>
      </w:tcPr>
    </w:tblStylePr>
    <w:tblStylePr w:type="lastCol">
      <w:rPr>
        <w:color w:val="000000"/>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right w:val="nil"/>
          <w:insideH w:val="nil"/>
          <w:insideV w:val="nil"/>
        </w:tcBorders>
        <w:shd w:val="clear" w:color="auto" w:fill="FFFFFF" w:themeFill="background1"/>
      </w:tcPr>
    </w:tblStylePr>
    <w:tblStylePr w:type="lastRow">
      <w:rPr>
        <w:b/>
        <w:bCs/>
        <w:color w:val="000000"/>
      </w:rPr>
      <w:tblPr/>
      <w:tcPr>
        <w:tcBorders>
          <w:top w:val="single" w:sz="6" w:space="0" w:color="FFFFFF"/>
        </w:tcBorders>
        <w:shd w:val="clear" w:color="auto" w:fill="4C3B62" w:themeFill="accent4" w:themeFillShade="99"/>
      </w:tcPr>
    </w:tblStylePr>
    <w:tblStylePr w:type="firstCol">
      <w:rPr>
        <w:color w:val="000000"/>
      </w:rPr>
      <w:tblPr/>
      <w:tcPr>
        <w:tcBorders>
          <w:top w:val="nil"/>
          <w:left w:val="nil"/>
          <w:bottom w:val="nil"/>
          <w:right w:val="nil"/>
          <w:insideH w:val="single" w:sz="4" w:space="0" w:color="4C3B62"/>
          <w:insideV w:val="nil"/>
        </w:tcBorders>
        <w:shd w:val="clear" w:color="auto" w:fill="4C3B62" w:themeFill="accent4" w:themeFillShade="99"/>
      </w:tcPr>
    </w:tblStylePr>
    <w:tblStylePr w:type="lastCol">
      <w:rPr>
        <w:color w:val="000000"/>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CB0664"/>
    <w:pPr>
      <w:spacing w:after="0" w:line="240" w:lineRule="auto"/>
    </w:pPr>
    <w:rPr>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right w:val="nil"/>
          <w:insideH w:val="nil"/>
          <w:insideV w:val="nil"/>
        </w:tcBorders>
        <w:shd w:val="clear" w:color="auto" w:fill="FFFFFF" w:themeFill="background1"/>
      </w:tcPr>
    </w:tblStylePr>
    <w:tblStylePr w:type="lastRow">
      <w:rPr>
        <w:b/>
        <w:bCs/>
        <w:color w:val="000000"/>
      </w:rPr>
      <w:tblPr/>
      <w:tcPr>
        <w:tcBorders>
          <w:top w:val="single" w:sz="6" w:space="0" w:color="FFFFFF"/>
        </w:tcBorders>
        <w:shd w:val="clear" w:color="auto" w:fill="276A7C" w:themeFill="accent5" w:themeFillShade="99"/>
      </w:tcPr>
    </w:tblStylePr>
    <w:tblStylePr w:type="firstCol">
      <w:rPr>
        <w:color w:val="000000"/>
      </w:rPr>
      <w:tblPr/>
      <w:tcPr>
        <w:tcBorders>
          <w:top w:val="nil"/>
          <w:left w:val="nil"/>
          <w:bottom w:val="nil"/>
          <w:right w:val="nil"/>
          <w:insideH w:val="single" w:sz="4" w:space="0" w:color="276A7C"/>
          <w:insideV w:val="nil"/>
        </w:tcBorders>
        <w:shd w:val="clear" w:color="auto" w:fill="276A7C" w:themeFill="accent5" w:themeFillShade="99"/>
      </w:tcPr>
    </w:tblStylePr>
    <w:tblStylePr w:type="lastCol">
      <w:rPr>
        <w:color w:val="000000"/>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CB0664"/>
    <w:pPr>
      <w:spacing w:after="0" w:line="240" w:lineRule="auto"/>
    </w:pPr>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right w:val="nil"/>
          <w:insideH w:val="nil"/>
          <w:insideV w:val="nil"/>
        </w:tcBorders>
        <w:shd w:val="clear" w:color="auto" w:fill="FFFFFF" w:themeFill="background1"/>
      </w:tcPr>
    </w:tblStylePr>
    <w:tblStylePr w:type="lastRow">
      <w:rPr>
        <w:b/>
        <w:bCs/>
        <w:color w:val="000000"/>
      </w:rPr>
      <w:tblPr/>
      <w:tcPr>
        <w:tcBorders>
          <w:top w:val="single" w:sz="6" w:space="0" w:color="FFFFFF"/>
        </w:tcBorders>
        <w:shd w:val="clear" w:color="auto" w:fill="B65608" w:themeFill="accent6" w:themeFillShade="99"/>
      </w:tcPr>
    </w:tblStylePr>
    <w:tblStylePr w:type="firstCol">
      <w:rPr>
        <w:color w:val="000000"/>
      </w:rPr>
      <w:tblPr/>
      <w:tcPr>
        <w:tcBorders>
          <w:top w:val="nil"/>
          <w:left w:val="nil"/>
          <w:bottom w:val="nil"/>
          <w:right w:val="nil"/>
          <w:insideH w:val="single" w:sz="4" w:space="0" w:color="B65608"/>
          <w:insideV w:val="nil"/>
        </w:tcBorders>
        <w:shd w:val="clear" w:color="auto" w:fill="B65608" w:themeFill="accent6" w:themeFillShade="99"/>
      </w:tcPr>
    </w:tblStylePr>
    <w:tblStylePr w:type="lastCol">
      <w:rPr>
        <w:color w:val="000000"/>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rPr>
    </w:tblStylePr>
    <w:tblStylePr w:type="nwCell">
      <w:rPr>
        <w:color w:val="000000"/>
      </w:rPr>
    </w:tblStylePr>
  </w:style>
  <w:style w:type="table" w:styleId="ColorfulList">
    <w:name w:val="Colorful List"/>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000000"/>
      </w:rPr>
      <w:tblPr/>
      <w:tcPr>
        <w:tcBorders>
          <w:bottom w:val="single" w:sz="12" w:space="0" w:color="FFFFFF"/>
        </w:tcBorders>
        <w:shd w:val="clear" w:color="auto" w:fill="9E3A38" w:themeFill="accent2" w:themeFillShade="CC"/>
      </w:tcPr>
    </w:tblStylePr>
    <w:tblStylePr w:type="lastRow">
      <w:rPr>
        <w:b/>
        <w:bCs/>
        <w:color w:val="000000"/>
      </w:rPr>
      <w:tblPr/>
      <w:tcPr>
        <w:tcBorders>
          <w:top w:val="single" w:sz="12" w:space="0" w:color="00000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000000"/>
      </w:rPr>
      <w:tblPr/>
      <w:tcPr>
        <w:tcBorders>
          <w:bottom w:val="single" w:sz="12" w:space="0" w:color="FFFFFF"/>
        </w:tcBorders>
        <w:shd w:val="clear" w:color="auto" w:fill="9E3A38" w:themeFill="accent2" w:themeFillShade="CC"/>
      </w:tcPr>
    </w:tblStylePr>
    <w:tblStylePr w:type="lastRow">
      <w:rPr>
        <w:b/>
        <w:bCs/>
        <w:color w:val="000000"/>
      </w:rPr>
      <w:tblPr/>
      <w:tcPr>
        <w:tcBorders>
          <w:top w:val="single" w:sz="12" w:space="0" w:color="00000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000000"/>
      </w:rPr>
      <w:tblPr/>
      <w:tcPr>
        <w:tcBorders>
          <w:bottom w:val="single" w:sz="12" w:space="0" w:color="FFFFFF"/>
        </w:tcBorders>
        <w:shd w:val="clear" w:color="auto" w:fill="9E3A38" w:themeFill="accent2" w:themeFillShade="CC"/>
      </w:tcPr>
    </w:tblStylePr>
    <w:tblStylePr w:type="lastRow">
      <w:rPr>
        <w:b/>
        <w:bCs/>
        <w:color w:val="000000"/>
      </w:rPr>
      <w:tblPr/>
      <w:tcPr>
        <w:tcBorders>
          <w:top w:val="single" w:sz="12" w:space="0" w:color="00000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000000"/>
      </w:rPr>
      <w:tblPr/>
      <w:tcPr>
        <w:tcBorders>
          <w:bottom w:val="single" w:sz="12" w:space="0" w:color="FFFFFF"/>
        </w:tcBorders>
        <w:shd w:val="clear" w:color="auto" w:fill="664E82" w:themeFill="accent4" w:themeFillShade="CC"/>
      </w:tcPr>
    </w:tblStylePr>
    <w:tblStylePr w:type="lastRow">
      <w:rPr>
        <w:b/>
        <w:bCs/>
        <w:color w:val="000000"/>
      </w:rPr>
      <w:tblPr/>
      <w:tcPr>
        <w:tcBorders>
          <w:top w:val="single" w:sz="12" w:space="0" w:color="00000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000000"/>
      </w:rPr>
      <w:tblPr/>
      <w:tcPr>
        <w:tcBorders>
          <w:bottom w:val="single" w:sz="12" w:space="0" w:color="FFFFFF"/>
        </w:tcBorders>
        <w:shd w:val="clear" w:color="auto" w:fill="7E9C40" w:themeFill="accent3" w:themeFillShade="CC"/>
      </w:tcPr>
    </w:tblStylePr>
    <w:tblStylePr w:type="lastRow">
      <w:rPr>
        <w:b/>
        <w:bCs/>
        <w:color w:val="000000"/>
      </w:rPr>
      <w:tblPr/>
      <w:tcPr>
        <w:tcBorders>
          <w:top w:val="single" w:sz="12" w:space="0" w:color="00000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000000"/>
      </w:rPr>
      <w:tblPr/>
      <w:tcPr>
        <w:tcBorders>
          <w:bottom w:val="single" w:sz="12" w:space="0" w:color="FFFFFF"/>
        </w:tcBorders>
        <w:shd w:val="clear" w:color="auto" w:fill="F2730A" w:themeFill="accent6" w:themeFillShade="CC"/>
      </w:tcPr>
    </w:tblStylePr>
    <w:tblStylePr w:type="lastRow">
      <w:rPr>
        <w:b/>
        <w:bCs/>
        <w:color w:val="000000"/>
      </w:rPr>
      <w:tblPr/>
      <w:tcPr>
        <w:tcBorders>
          <w:top w:val="single" w:sz="12" w:space="0" w:color="00000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000000"/>
      </w:rPr>
      <w:tblPr/>
      <w:tcPr>
        <w:tcBorders>
          <w:bottom w:val="single" w:sz="12" w:space="0" w:color="FFFFFF"/>
        </w:tcBorders>
        <w:shd w:val="clear" w:color="auto" w:fill="348DA5" w:themeFill="accent5" w:themeFillShade="CC"/>
      </w:tcPr>
    </w:tblStylePr>
    <w:tblStylePr w:type="lastRow">
      <w:rPr>
        <w:b/>
        <w:bCs/>
        <w:color w:val="000000"/>
      </w:rPr>
      <w:tblPr/>
      <w:tcPr>
        <w:tcBorders>
          <w:top w:val="single" w:sz="12" w:space="0" w:color="00000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rPr>
      <w:tblPr/>
      <w:tcPr>
        <w:shd w:val="clear" w:color="auto" w:fill="999999" w:themeFill="text1" w:themeFillTint="66"/>
      </w:tcPr>
    </w:tblStylePr>
    <w:tblStylePr w:type="firstCol">
      <w:rPr>
        <w:color w:val="000000"/>
      </w:rPr>
      <w:tblPr/>
      <w:tcPr>
        <w:shd w:val="clear" w:color="auto" w:fill="000000" w:themeFill="text1" w:themeFillShade="BF"/>
      </w:tcPr>
    </w:tblStylePr>
    <w:tblStylePr w:type="lastCol">
      <w:rPr>
        <w:color w:val="000000"/>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rPr>
      <w:tblPr/>
      <w:tcPr>
        <w:shd w:val="clear" w:color="auto" w:fill="B8CCE4" w:themeFill="accent1" w:themeFillTint="66"/>
      </w:tcPr>
    </w:tblStylePr>
    <w:tblStylePr w:type="firstCol">
      <w:rPr>
        <w:color w:val="000000"/>
      </w:rPr>
      <w:tblPr/>
      <w:tcPr>
        <w:shd w:val="clear" w:color="auto" w:fill="365F91" w:themeFill="accent1" w:themeFillShade="BF"/>
      </w:tcPr>
    </w:tblStylePr>
    <w:tblStylePr w:type="lastCol">
      <w:rPr>
        <w:color w:val="000000"/>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rPr>
      <w:tblPr/>
      <w:tcPr>
        <w:shd w:val="clear" w:color="auto" w:fill="E5B8B7" w:themeFill="accent2" w:themeFillTint="66"/>
      </w:tcPr>
    </w:tblStylePr>
    <w:tblStylePr w:type="firstCol">
      <w:rPr>
        <w:color w:val="000000"/>
      </w:rPr>
      <w:tblPr/>
      <w:tcPr>
        <w:shd w:val="clear" w:color="auto" w:fill="943634" w:themeFill="accent2" w:themeFillShade="BF"/>
      </w:tcPr>
    </w:tblStylePr>
    <w:tblStylePr w:type="lastCol">
      <w:rPr>
        <w:color w:val="000000"/>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rPr>
      <w:tblPr/>
      <w:tcPr>
        <w:shd w:val="clear" w:color="auto" w:fill="D6E3BC" w:themeFill="accent3" w:themeFillTint="66"/>
      </w:tcPr>
    </w:tblStylePr>
    <w:tblStylePr w:type="firstCol">
      <w:rPr>
        <w:color w:val="000000"/>
      </w:rPr>
      <w:tblPr/>
      <w:tcPr>
        <w:shd w:val="clear" w:color="auto" w:fill="76923C" w:themeFill="accent3" w:themeFillShade="BF"/>
      </w:tcPr>
    </w:tblStylePr>
    <w:tblStylePr w:type="lastCol">
      <w:rPr>
        <w:color w:val="000000"/>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rPr>
      <w:tblPr/>
      <w:tcPr>
        <w:shd w:val="clear" w:color="auto" w:fill="CCC0D9" w:themeFill="accent4" w:themeFillTint="66"/>
      </w:tcPr>
    </w:tblStylePr>
    <w:tblStylePr w:type="firstCol">
      <w:rPr>
        <w:color w:val="000000"/>
      </w:rPr>
      <w:tblPr/>
      <w:tcPr>
        <w:shd w:val="clear" w:color="auto" w:fill="5F497A" w:themeFill="accent4" w:themeFillShade="BF"/>
      </w:tcPr>
    </w:tblStylePr>
    <w:tblStylePr w:type="lastCol">
      <w:rPr>
        <w:color w:val="000000"/>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rPr>
      <w:tblPr/>
      <w:tcPr>
        <w:shd w:val="clear" w:color="auto" w:fill="B6DDE8" w:themeFill="accent5" w:themeFillTint="66"/>
      </w:tcPr>
    </w:tblStylePr>
    <w:tblStylePr w:type="firstCol">
      <w:rPr>
        <w:color w:val="000000"/>
      </w:rPr>
      <w:tblPr/>
      <w:tcPr>
        <w:shd w:val="clear" w:color="auto" w:fill="31849B" w:themeFill="accent5" w:themeFillShade="BF"/>
      </w:tcPr>
    </w:tblStylePr>
    <w:tblStylePr w:type="lastCol">
      <w:rPr>
        <w:color w:val="000000"/>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rPr>
      <w:tblPr/>
      <w:tcPr>
        <w:shd w:val="clear" w:color="auto" w:fill="FBD4B4" w:themeFill="accent6" w:themeFillTint="66"/>
      </w:tcPr>
    </w:tblStylePr>
    <w:tblStylePr w:type="firstCol">
      <w:rPr>
        <w:color w:val="000000"/>
      </w:rPr>
      <w:tblPr/>
      <w:tcPr>
        <w:shd w:val="clear" w:color="auto" w:fill="E36C0A" w:themeFill="accent6" w:themeFillShade="BF"/>
      </w:tcPr>
    </w:tblStylePr>
    <w:tblStylePr w:type="lastCol">
      <w:rPr>
        <w:color w:val="000000"/>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Lato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Lato Light"/>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Vereinbarung zur Auftragsverarbeitung – Vantero – Version 1.1</dc:title>
  <dc:subject>AVV gemäß Art. 28 DSGVO für den Vantero Cloud Service</dc:subject>
  <dc:creator>Franco Consulting GmbH</dc:creator>
  <cp:keywords>AVV, DSGVO, Art. 28, Vantero, Auftragsverarbeitung, TOM</cp:keywords>
  <dc:description>Elektronisch abschließbare Kundenfassung; Stand 3. September 2026. Auftraggeber und Vertragsbezug werden über Kundenkonto, Bestellnachweis oder Leistungsvereinbarung zugeordnet.</dc:description>
  <cp:lastModifiedBy/>
  <cp:revision>1</cp:revision>
  <dcterms:created xsi:type="dcterms:W3CDTF">2013-12-23T23:15:00Z</dcterms:created>
  <dcterms:modified xsi:type="dcterms:W3CDTF">2013-12-23T23:15:00Z</dcterms:modified>
  <cp:category/>
</cp:coreProperties>
</file>