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100"/>
      </w:pPr>
      <w:r>
        <w:rPr>
          <w:rFonts w:ascii="Lato Light" w:hAnsi="Lato Light" w:eastAsia="Lato Light" w:cs="Lato Light"/>
          <w:b/>
          <w:color w:val="000000"/>
          <w:sz w:val="22"/>
        </w:rPr>
        <w:t>KUNDENINFORMATION • DATENSCHUTZ</w:t>
      </w:r>
    </w:p>
    <w:p>
      <w:pPr>
        <w:spacing w:after="100"/>
      </w:pPr>
      <w:r>
        <w:rPr>
          <w:rFonts w:ascii="Lato Light" w:hAnsi="Lato Light" w:eastAsia="Lato Light" w:cs="Lato Light"/>
          <w:b/>
          <w:color w:val="000000"/>
          <w:sz w:val="28"/>
        </w:rPr>
        <w:t>Datenverarbeitung bei Vantero</w:t>
      </w:r>
    </w:p>
    <w:p>
      <w:pPr>
        <w:spacing w:after="280"/>
      </w:pPr>
      <w:r>
        <w:rPr>
          <w:rFonts w:ascii="Lato Light" w:hAnsi="Lato Light" w:eastAsia="Lato Light" w:cs="Lato Light"/>
          <w:color w:val="000000"/>
          <w:sz w:val="22"/>
        </w:rPr>
        <w:t>Versendbare Übersicht zu Datenarten, Anbietern, Orten und individuellen Auskünften</w:t>
      </w:r>
    </w:p>
    <w:tbl>
      <w:tblPr>
        <w:tblW w:type="dxa" w:w="9360"/>
        <w:tblLayout w:type="fixed"/>
        <w:tblLook w:firstColumn="1" w:firstRow="1" w:lastColumn="0" w:lastRow="0" w:noHBand="0" w:noVBand="1" w:val="04A0"/>
        <w:jc w:val="left"/>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500"/>
        <w:gridCol w:w="6860"/>
      </w:tblGrid>
      <w:tr>
        <w:trPr>
          <w:tblHeader w:val="true"/>
          <w:cantSplit w:val="true"/>
        </w:trPr>
        <w:tc>
          <w:tcPr>
            <w:tcW w:type="dxa" w:w="2500"/>
            <w:tcMar>
              <w:top w:w="90" w:type="dxa"/>
              <w:start w:w="120" w:type="dxa"/>
              <w:bottom w:w="90" w:type="dxa"/>
              <w:end w:w="120" w:type="dxa"/>
            </w:tcMar>
            <w:vAlign w:val="center"/>
            <w:shd w:fill="FFFFFF"/>
          </w:tcPr>
          <w:p>
            <w:pPr>
              <w:spacing w:before="0" w:after="0" w:line="259" w:lineRule="auto"/>
              <w:jc w:val="left"/>
            </w:pPr>
            <w:r>
              <w:rPr>
                <w:rFonts w:ascii="Lato Light" w:hAnsi="Lato Light" w:eastAsia="Lato Light" w:cs="Lato Light"/>
                <w:b/>
                <w:color w:val="000000"/>
                <w:sz w:val="22"/>
              </w:rPr>
              <w:t>Feld</w:t>
            </w:r>
          </w:p>
        </w:tc>
        <w:tc>
          <w:tcPr>
            <w:tcW w:type="dxa" w:w="6860"/>
            <w:tcMar>
              <w:top w:w="90" w:type="dxa"/>
              <w:start w:w="120" w:type="dxa"/>
              <w:bottom w:w="90" w:type="dxa"/>
              <w:end w:w="120" w:type="dxa"/>
            </w:tcMar>
            <w:vAlign w:val="center"/>
            <w:shd w:fill="FFFFFF"/>
          </w:tcPr>
          <w:p>
            <w:pPr>
              <w:spacing w:before="0" w:after="0" w:line="259" w:lineRule="auto"/>
              <w:jc w:val="left"/>
            </w:pPr>
            <w:r>
              <w:rPr>
                <w:rFonts w:ascii="Lato Light" w:hAnsi="Lato Light" w:eastAsia="Lato Light" w:cs="Lato Light"/>
                <w:b/>
                <w:color w:val="000000"/>
                <w:sz w:val="22"/>
              </w:rPr>
              <w:t>Angabe</w:t>
            </w:r>
          </w:p>
        </w:tc>
      </w:tr>
      <w:tr>
        <w:trPr>
          <w:cantSplit w:val="true"/>
        </w:trPr>
        <w:tc>
          <w:tcPr>
            <w:tcW w:type="dxa" w:w="25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Anbieter</w:t>
            </w:r>
          </w:p>
        </w:tc>
        <w:tc>
          <w:tcPr>
            <w:tcW w:type="dxa" w:w="6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Franco Consulting GmbH, Maria-Theresia-Straße 17, 89331 Burgau, Deutschland</w:t>
            </w:r>
          </w:p>
        </w:tc>
      </w:tr>
      <w:tr>
        <w:trPr>
          <w:cantSplit w:val="true"/>
        </w:trPr>
        <w:tc>
          <w:tcPr>
            <w:tcW w:type="dxa" w:w="25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Produkt</w:t>
            </w:r>
          </w:p>
        </w:tc>
        <w:tc>
          <w:tcPr>
            <w:tcW w:type="dxa" w:w="6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Vantero Cloud Service</w:t>
            </w:r>
          </w:p>
        </w:tc>
      </w:tr>
      <w:tr>
        <w:trPr>
          <w:cantSplit w:val="true"/>
        </w:trPr>
        <w:tc>
          <w:tcPr>
            <w:tcW w:type="dxa" w:w="25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Version / Stand</w:t>
            </w:r>
          </w:p>
        </w:tc>
        <w:tc>
          <w:tcPr>
            <w:tcW w:type="dxa" w:w="6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Version 1.1 • 4. September 2026</w:t>
            </w:r>
          </w:p>
        </w:tc>
      </w:tr>
      <w:tr>
        <w:trPr>
          <w:cantSplit w:val="true"/>
        </w:trPr>
        <w:tc>
          <w:tcPr>
            <w:tcW w:type="dxa" w:w="25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Kontakt</w:t>
            </w:r>
          </w:p>
        </w:tc>
        <w:tc>
          <w:tcPr>
            <w:tcW w:type="dxa" w:w="6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kontakt@franco-consulting.com</w:t>
            </w:r>
          </w:p>
        </w:tc>
      </w:tr>
      <w:tr>
        <w:trPr>
          <w:cantSplit w:val="true"/>
        </w:trPr>
        <w:tc>
          <w:tcPr>
            <w:tcW w:type="dxa" w:w="25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Produktphase</w:t>
            </w:r>
          </w:p>
        </w:tc>
        <w:tc>
          <w:tcPr>
            <w:tcW w:type="dxa" w:w="6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Early Alpha; noch kein öffentlicher Produktstart und derzeit keine abschließbaren kostenpflichtigen Abonnements</w:t>
            </w:r>
          </w:p>
        </w:tc>
      </w:tr>
    </w:tbl>
    <w:p>
      <w:pPr>
        <w:keepLines/>
        <w:spacing w:before="120" w:after="200" w:line="264" w:lineRule="auto"/>
        <w:ind w:left="115" w:right="115"/>
        <w:shd w:fill="FFFFFF"/>
        <w:pBdr>
          <w:top w:val="single" w:sz="8" w:space="7" w:color="BFBFBF"/>
          <w:left w:val="single" w:sz="8" w:space="7" w:color="BFBFBF"/>
          <w:bottom w:val="single" w:sz="8" w:space="7" w:color="BFBFBF"/>
          <w:right w:val="single" w:sz="8" w:space="7" w:color="BFBFBF"/>
        </w:pBdr>
      </w:pPr>
      <w:r>
        <w:rPr>
          <w:rFonts w:ascii="Lato Light" w:hAnsi="Lato Light" w:eastAsia="Lato Light" w:cs="Lato Light"/>
          <w:b/>
          <w:color w:val="000000"/>
          <w:sz w:val="24"/>
        </w:rPr>
        <w:t>Wofür dieses Dokument gedacht ist</w:t>
        <w:br/>
      </w:r>
      <w:r>
        <w:rPr>
          <w:rFonts w:ascii="Lato Light" w:hAnsi="Lato Light" w:eastAsia="Lato Light" w:cs="Lato Light"/>
          <w:color w:val="000000"/>
          <w:sz w:val="22"/>
        </w:rPr>
        <w:t>Diese Übersicht kann interessierten Personen, Testnutzern und Geschäftskunden zugesandt werden. Sie beschreibt den allgemeinen Verarbeitungsrahmen und enthält in Abschnitt 9 ein ausfüllbares Antwortblatt für eine konkrete Anfrage. Die allgemeine Anbieterliste allein belegt nicht, dass jeder Anbieter Daten einer bestimmten Person erhalten hat; maßgeblich sind die im Einzelfall aktivierten Funktionen, Modelle, Integrationen und der geprüfte Zeitraum.</w:t>
      </w:r>
    </w:p>
    <w:p>
      <w:pPr>
        <w:pStyle w:val="Heading1"/>
        <w:keepNext/>
      </w:pPr>
      <w:r>
        <w:t>1. Einordnung</w:t>
      </w:r>
    </w:p>
    <w:p>
      <w:pPr>
        <w:spacing w:before="0" w:after="120" w:line="264" w:lineRule="auto"/>
      </w:pPr>
      <w:r>
        <w:rPr>
          <w:rFonts w:ascii="Lato Light" w:hAnsi="Lato Light" w:eastAsia="Lato Light" w:cs="Lato Light"/>
          <w:b w:val="0"/>
          <w:i w:val="0"/>
          <w:color w:val="000000"/>
          <w:sz w:val="22"/>
        </w:rPr>
        <w:t>Vantero verarbeitet zum einen eigene Account-, Sicherheits-, Kommunikations- und Nutzungsdaten als Anbieter der Plattform. Zum anderen kann Vantero Inhalte im Auftrag eines Geschäftskunden verarbeiten, wenn dieser über seinen Workspace personenbezogene Daten Dritter eingibt oder verarbeiten lässt. Für diese Auftragsverarbeitung steht zusätzlich die AVV Version 1.2 gemäß Art. 28 DSGVO bereit.</w:t>
      </w:r>
    </w:p>
    <w:p>
      <w:pPr>
        <w:spacing w:before="0" w:after="120" w:line="264" w:lineRule="auto"/>
      </w:pPr>
      <w:r>
        <w:rPr>
          <w:rFonts w:ascii="Lato Light" w:hAnsi="Lato Light" w:eastAsia="Lato Light" w:cs="Lato Light"/>
          <w:b w:val="0"/>
          <w:i w:val="0"/>
          <w:color w:val="000000"/>
          <w:sz w:val="22"/>
        </w:rPr>
        <w:t>Diese Kundeninformation ersetzt weder die Datenschutzerklärung noch die AVV und auch keine auf eine identifizierte Person bezogene Auskunft nach Art. 15 DSGVO. Sie dient als nachvollziehbare Ausgangsbasis. Bei einer konkreten Anfrage wird die Antwort anhand der betroffenen Identität, des Kontos oder Workspaces, des Zeitraums und der tatsächlich verwendeten Funktionen ergänzt.</w:t>
      </w:r>
    </w:p>
    <w:p>
      <w:pPr>
        <w:pStyle w:val="Heading1"/>
        <w:keepNext/>
      </w:pPr>
      <w:r>
        <w:t>2. Kurzantwort zu Speicher- und Verarbeitungsorten</w:t>
      </w:r>
    </w:p>
    <w:p>
      <w:pPr>
        <w:numPr>
          <w:ilvl w:val="0"/>
          <w:numId w:val="10"/>
        </w:numPr>
        <w:spacing w:after="100" w:line="280" w:lineRule="auto"/>
        <w:ind w:left="720" w:hanging="360"/>
      </w:pPr>
      <w:r>
        <w:rPr>
          <w:rFonts w:ascii="Lato Light" w:hAnsi="Lato Light" w:eastAsia="Lato Light" w:cs="Lato Light"/>
          <w:color w:val="000000"/>
          <w:sz w:val="22"/>
        </w:rPr>
        <w:t>Persistente Plattformdaten wie Konten, Workspaces, Chats, Dateien, Projekte und technische Zuordnungen werden auf selbst betriebenen Systemen in der IONOS Cloud im virtuellen Rechenzentrum de/fra in Frankfurt am Main gespeichert.</w:t>
      </w:r>
    </w:p>
    <w:p>
      <w:pPr>
        <w:numPr>
          <w:ilvl w:val="0"/>
          <w:numId w:val="10"/>
        </w:numPr>
        <w:spacing w:after="100" w:line="280" w:lineRule="auto"/>
        <w:ind w:left="720" w:hanging="360"/>
      </w:pPr>
      <w:r>
        <w:rPr>
          <w:rFonts w:ascii="Lato Light" w:hAnsi="Lato Light" w:eastAsia="Lato Light" w:cs="Lato Light"/>
          <w:color w:val="000000"/>
          <w:sz w:val="22"/>
        </w:rPr>
        <w:t>Für eine aktiv gewählte KI-, Such-, Bild-, Audio- oder Integrationsfunktion werden nur die hierfür erforderlichen Eingaben, Anhänge, Suchbegriffe und technischen Metadaten an den jeweils eingesetzten Anbieter übertragen.</w:t>
      </w:r>
    </w:p>
    <w:p>
      <w:pPr>
        <w:numPr>
          <w:ilvl w:val="0"/>
          <w:numId w:val="10"/>
        </w:numPr>
        <w:spacing w:after="100" w:line="280" w:lineRule="auto"/>
        <w:ind w:left="720" w:hanging="360"/>
      </w:pPr>
      <w:r>
        <w:rPr>
          <w:rFonts w:ascii="Lato Light" w:hAnsi="Lato Light" w:eastAsia="Lato Light" w:cs="Lato Light"/>
          <w:color w:val="000000"/>
          <w:sz w:val="22"/>
        </w:rPr>
        <w:t>Je nach Modell oder Funktion kann die Verarbeitung in Deutschland, im übrigen EWR, im Vereinigten Königreich oder in den USA beziehungsweise über einen globalen Endpunkt stattfinden. Eine pauschale Zusage „ausschließlich EU“ wird daher nicht abgegeben.</w:t>
      </w:r>
    </w:p>
    <w:p>
      <w:pPr>
        <w:numPr>
          <w:ilvl w:val="0"/>
          <w:numId w:val="10"/>
        </w:numPr>
        <w:spacing w:after="100" w:line="280" w:lineRule="auto"/>
        <w:ind w:left="720" w:hanging="360"/>
      </w:pPr>
      <w:r>
        <w:rPr>
          <w:rFonts w:ascii="Lato Light" w:hAnsi="Lato Light" w:eastAsia="Lato Light" w:cs="Lato Light"/>
          <w:color w:val="000000"/>
          <w:sz w:val="22"/>
        </w:rPr>
        <w:t>Es besteht derzeit keine Zahlungs- oder Abonnementabwicklung für kostenpflichtige Vantero-Tarife. Zahlungs- und App-Store-Daten entstehen erst, wenn eine solche Funktion später tatsächlich aktiviert wird.</w:t>
      </w:r>
    </w:p>
    <w:p>
      <w:pPr>
        <w:pStyle w:val="Heading1"/>
        <w:keepNext/>
      </w:pPr>
      <w:r>
        <w:t>3. Welche Daten können betroffen sein?</w:t>
      </w:r>
    </w:p>
    <w:tbl>
      <w:tblPr>
        <w:tblW w:type="dxa" w:w="9360"/>
        <w:tblLayout w:type="fixed"/>
        <w:tblLook w:firstColumn="1" w:firstRow="1" w:lastColumn="0" w:lastRow="0" w:noHBand="0" w:noVBand="1" w:val="04A0"/>
        <w:jc w:val="left"/>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200"/>
        <w:gridCol w:w="4300"/>
        <w:gridCol w:w="2860"/>
      </w:tblGrid>
      <w:tr>
        <w:trPr>
          <w:tblHeader w:val="true"/>
          <w:cantSplit w:val="true"/>
        </w:trPr>
        <w:tc>
          <w:tcPr>
            <w:tcW w:type="dxa" w:w="220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Datenbereich</w:t>
            </w:r>
          </w:p>
        </w:tc>
        <w:tc>
          <w:tcPr>
            <w:tcW w:type="dxa" w:w="430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Typische Angaben</w:t>
            </w:r>
          </w:p>
        </w:tc>
        <w:tc>
          <w:tcPr>
            <w:tcW w:type="dxa" w:w="286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Wann betroffen</w:t>
            </w:r>
          </w:p>
        </w:tc>
      </w:tr>
      <w:tr>
        <w:trPr>
          <w:cantSplit w:val="true"/>
        </w:trPr>
        <w:tc>
          <w:tcPr>
            <w:tcW w:type="dxa" w:w="22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Konto und Organisation</w:t>
            </w:r>
          </w:p>
        </w:tc>
        <w:tc>
          <w:tcPr>
            <w:tcW w:type="dxa" w:w="4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Name, E-Mail-Adresse, Unternehmens- und Workspace-Zuordnung, Rollen und Einstellungen</w:t>
            </w:r>
          </w:p>
        </w:tc>
        <w:tc>
          <w:tcPr>
            <w:tcW w:type="dxa" w:w="2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Bei Registrierung, Einladung oder Administration</w:t>
            </w:r>
          </w:p>
        </w:tc>
      </w:tr>
      <w:tr>
        <w:trPr>
          <w:cantSplit w:val="true"/>
        </w:trPr>
        <w:tc>
          <w:tcPr>
            <w:tcW w:type="dxa" w:w="22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Authentifizierung und Sicherheit</w:t>
            </w:r>
          </w:p>
        </w:tc>
        <w:tc>
          <w:tcPr>
            <w:tcW w:type="dxa" w:w="4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Passwort-Hash, Login-Anbieter, Sitzungskennungen, IP-Adresse, Zeitstempel, Sicherheits- und Auditereignisse</w:t>
            </w:r>
          </w:p>
        </w:tc>
        <w:tc>
          <w:tcPr>
            <w:tcW w:type="dxa" w:w="2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Bei Anmeldung, Sitzung und sicherheitsrelevanten Vorgängen</w:t>
            </w:r>
          </w:p>
        </w:tc>
      </w:tr>
      <w:tr>
        <w:trPr>
          <w:cantSplit w:val="true"/>
        </w:trPr>
        <w:tc>
          <w:tcPr>
            <w:tcW w:type="dxa" w:w="22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Nutzerinhalte</w:t>
            </w:r>
          </w:p>
        </w:tc>
        <w:tc>
          <w:tcPr>
            <w:tcW w:type="dxa" w:w="4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Prompts, Chatnachrichten, hochgeladene Dateien, Bilder, Audio, Projekte, Wissensbasisinhalte und erzeugte Ergebnisse</w:t>
            </w:r>
          </w:p>
        </w:tc>
        <w:tc>
          <w:tcPr>
            <w:tcW w:type="dxa" w:w="2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Nur soweit die Person oder der Workspace diese Inhalte bereitstellt oder erzeugt</w:t>
            </w:r>
          </w:p>
        </w:tc>
      </w:tr>
      <w:tr>
        <w:trPr>
          <w:cantSplit w:val="true"/>
        </w:trPr>
        <w:tc>
          <w:tcPr>
            <w:tcW w:type="dxa" w:w="22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KI- und Tool-Anfragen</w:t>
            </w:r>
          </w:p>
        </w:tc>
        <w:tc>
          <w:tcPr>
            <w:tcW w:type="dxa" w:w="4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Erforderlicher Prompt, ausgewählte Anhänge oder Auszüge, Suchbegriffe, Ziel-URL und technische Anfrageparameter</w:t>
            </w:r>
          </w:p>
        </w:tc>
        <w:tc>
          <w:tcPr>
            <w:tcW w:type="dxa" w:w="2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Nur bei Nutzung der betreffenden Funktion oder des Modells</w:t>
            </w:r>
          </w:p>
        </w:tc>
      </w:tr>
      <w:tr>
        <w:trPr>
          <w:cantSplit w:val="true"/>
        </w:trPr>
        <w:tc>
          <w:tcPr>
            <w:tcW w:type="dxa" w:w="22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Integrationen</w:t>
            </w:r>
          </w:p>
        </w:tc>
        <w:tc>
          <w:tcPr>
            <w:tcW w:type="dxa" w:w="4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Vom Kunden freigegebene Inhalte, Kontoreferenzen und Berechtigungsumfang verbundener Zielsysteme</w:t>
            </w:r>
          </w:p>
        </w:tc>
        <w:tc>
          <w:tcPr>
            <w:tcW w:type="dxa" w:w="2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Nur bei ausdrücklich verbundener Integration</w:t>
            </w:r>
          </w:p>
        </w:tc>
      </w:tr>
      <w:tr>
        <w:trPr>
          <w:cantSplit w:val="true"/>
        </w:trPr>
        <w:tc>
          <w:tcPr>
            <w:tcW w:type="dxa" w:w="22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Nutzung und Betrieb</w:t>
            </w:r>
          </w:p>
        </w:tc>
        <w:tc>
          <w:tcPr>
            <w:tcW w:type="dxa" w:w="4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Zeitpunkte, verwendete Funktion oder Modell, Verbrauchs- und Statusdaten, Fehler- und Diagnoseinformationen</w:t>
            </w:r>
          </w:p>
        </w:tc>
        <w:tc>
          <w:tcPr>
            <w:tcW w:type="dxa" w:w="2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Beim Betrieb der Plattform; Inhalte werden hierfür minimiert</w:t>
            </w:r>
          </w:p>
        </w:tc>
      </w:tr>
      <w:tr>
        <w:trPr>
          <w:cantSplit w:val="true"/>
        </w:trPr>
        <w:tc>
          <w:tcPr>
            <w:tcW w:type="dxa" w:w="22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Kommunikation und Support</w:t>
            </w:r>
          </w:p>
        </w:tc>
        <w:tc>
          <w:tcPr>
            <w:tcW w:type="dxa" w:w="4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Nachrichten, Kontaktdaten, Anfrageinhalt und Bearbeitungsverlauf</w:t>
            </w:r>
          </w:p>
        </w:tc>
        <w:tc>
          <w:tcPr>
            <w:tcW w:type="dxa" w:w="2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Bei Kontaktaufnahme oder Supportfall</w:t>
            </w:r>
          </w:p>
        </w:tc>
      </w:tr>
      <w:tr>
        <w:trPr>
          <w:cantSplit w:val="true"/>
        </w:trPr>
        <w:tc>
          <w:tcPr>
            <w:tcW w:type="dxa" w:w="22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Vertrag und Zahlung</w:t>
            </w:r>
          </w:p>
        </w:tc>
        <w:tc>
          <w:tcPr>
            <w:tcW w:type="dxa" w:w="4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Vertrags-, Bestell-, Tarif- und Statusreferenzen; keine vollständigen Karten- oder Bankdaten bei Vantero</w:t>
            </w:r>
          </w:p>
        </w:tc>
        <w:tc>
          <w:tcPr>
            <w:tcW w:type="dxa" w:w="2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Derzeit kein bezahltes Vantero-Abonnement; erst bei späterer Aktivierung</w:t>
            </w:r>
          </w:p>
        </w:tc>
      </w:tr>
    </w:tbl>
    <w:p>
      <w:pPr>
        <w:pStyle w:val="Heading1"/>
        <w:keepNext/>
      </w:pPr>
      <w:r>
        <w:t>4. Grundsätze der Weitergabe</w:t>
      </w:r>
    </w:p>
    <w:p>
      <w:pPr>
        <w:numPr>
          <w:ilvl w:val="0"/>
          <w:numId w:val="10"/>
        </w:numPr>
        <w:spacing w:after="100" w:line="280" w:lineRule="auto"/>
        <w:ind w:left="720" w:hanging="360"/>
      </w:pPr>
      <w:r>
        <w:rPr>
          <w:rFonts w:ascii="Lato Light" w:hAnsi="Lato Light" w:eastAsia="Lato Light" w:cs="Lato Light"/>
          <w:color w:val="000000"/>
          <w:sz w:val="22"/>
        </w:rPr>
        <w:t>Funktionsbindung: Ein externer Anbieter wird nur eingesetzt, wenn die zugehörige Funktion tatsächlich genutzt wird.</w:t>
      </w:r>
    </w:p>
    <w:p>
      <w:pPr>
        <w:numPr>
          <w:ilvl w:val="0"/>
          <w:numId w:val="10"/>
        </w:numPr>
        <w:spacing w:after="100" w:line="280" w:lineRule="auto"/>
        <w:ind w:left="720" w:hanging="360"/>
      </w:pPr>
      <w:r>
        <w:rPr>
          <w:rFonts w:ascii="Lato Light" w:hAnsi="Lato Light" w:eastAsia="Lato Light" w:cs="Lato Light"/>
          <w:color w:val="000000"/>
          <w:sz w:val="22"/>
        </w:rPr>
        <w:t>Datenminimierung: Account-Stammdaten werden nicht allein deshalb Bestandteil eines Modellprompts; übertragen werden nur die für die Anfrage erforderlichen Inhalte.</w:t>
      </w:r>
    </w:p>
    <w:p>
      <w:pPr>
        <w:numPr>
          <w:ilvl w:val="0"/>
          <w:numId w:val="10"/>
        </w:numPr>
        <w:spacing w:after="100" w:line="280" w:lineRule="auto"/>
        <w:ind w:left="720" w:hanging="360"/>
      </w:pPr>
      <w:r>
        <w:rPr>
          <w:rFonts w:ascii="Lato Light" w:hAnsi="Lato Light" w:eastAsia="Lato Light" w:cs="Lato Light"/>
          <w:color w:val="000000"/>
          <w:sz w:val="22"/>
        </w:rPr>
        <w:t>Kein eigenes Modelltraining: Vantero verwendet Eingaben und Ausgaben nicht zum Training oder Fine-Tuning eigener Modelle.</w:t>
      </w:r>
    </w:p>
    <w:p>
      <w:pPr>
        <w:numPr>
          <w:ilvl w:val="0"/>
          <w:numId w:val="10"/>
        </w:numPr>
        <w:spacing w:after="100" w:line="280" w:lineRule="auto"/>
        <w:ind w:left="720" w:hanging="360"/>
      </w:pPr>
      <w:r>
        <w:rPr>
          <w:rFonts w:ascii="Lato Light" w:hAnsi="Lato Light" w:eastAsia="Lato Light" w:cs="Lato Light"/>
          <w:color w:val="000000"/>
          <w:sz w:val="22"/>
        </w:rPr>
        <w:t>Anbieterfreigabe: Auftragsdaten dürfen nur an einen Anbieter gehen, wenn die erforderlichen Verträge, Transfergrundlagen sowie Trainings-, Aufbewahrungs- und Sicherheitsbedingungen dokumentiert sind.</w:t>
      </w:r>
    </w:p>
    <w:p>
      <w:pPr>
        <w:numPr>
          <w:ilvl w:val="0"/>
          <w:numId w:val="10"/>
        </w:numPr>
        <w:spacing w:after="100" w:line="280" w:lineRule="auto"/>
        <w:ind w:left="720" w:hanging="360"/>
      </w:pPr>
      <w:r>
        <w:rPr>
          <w:rFonts w:ascii="Lato Light" w:hAnsi="Lato Light" w:eastAsia="Lato Light" w:cs="Lato Light"/>
          <w:color w:val="000000"/>
          <w:sz w:val="22"/>
        </w:rPr>
        <w:t>Kundenseitige Steuerung: Modellwahl, Datenzone, aktivierte Tools und verbundene Zielsysteme bestimmen, welche zusätzlichen Verarbeitungen stattfinden können.</w:t>
      </w:r>
    </w:p>
    <w:p>
      <w:pPr>
        <w:pStyle w:val="Heading1"/>
        <w:keepNext/>
      </w:pPr>
      <w:r>
        <w:t>5. Anbieter und Orte – Hosting, Kommunikation und KI</w:t>
      </w:r>
    </w:p>
    <w:p>
      <w:pPr>
        <w:spacing w:before="0" w:after="120" w:line="264" w:lineRule="auto"/>
      </w:pPr>
      <w:r>
        <w:rPr>
          <w:rFonts w:ascii="Lato Light" w:hAnsi="Lato Light" w:eastAsia="Lato Light" w:cs="Lato Light"/>
          <w:b w:val="0"/>
          <w:i w:val="0"/>
          <w:color w:val="000000"/>
          <w:sz w:val="22"/>
        </w:rPr>
        <w:t>Die folgende Matrix beschreibt den technisch vorgesehenen Verarbeitungsrahmen. Sie ist keine Aussage, dass sämtliche Anbieter im Einzelfall eingesetzt wurden. Für eine personenbezogene Antwort wird die tatsächliche Zuordnung mit dem Antwortblatt in Abschnitt 9 dokumentiert.</w:t>
      </w:r>
    </w:p>
    <w:tbl>
      <w:tblPr>
        <w:tblW w:type="dxa" w:w="9360"/>
        <w:tblLayout w:type="fixed"/>
        <w:tblLook w:firstColumn="1" w:firstRow="1" w:lastColumn="0" w:lastRow="0" w:noHBand="0" w:noVBand="1" w:val="04A0"/>
        <w:jc w:val="left"/>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750"/>
        <w:gridCol w:w="3050"/>
        <w:gridCol w:w="3560"/>
      </w:tblGrid>
      <w:tr>
        <w:trPr>
          <w:tblHeader w:val="true"/>
          <w:cantSplit w:val="true"/>
        </w:trPr>
        <w:tc>
          <w:tcPr>
            <w:tcW w:type="dxa" w:w="275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Anbieter / Funktion</w:t>
            </w:r>
          </w:p>
        </w:tc>
        <w:tc>
          <w:tcPr>
            <w:tcW w:type="dxa" w:w="305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Mögliche Daten</w:t>
            </w:r>
          </w:p>
        </w:tc>
        <w:tc>
          <w:tcPr>
            <w:tcW w:type="dxa" w:w="356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Ort und wesentliche Bedingung</w:t>
            </w:r>
          </w:p>
        </w:tc>
      </w:tr>
      <w:tr>
        <w:trPr>
          <w:cantSplit w:val="true"/>
        </w:trPr>
        <w:tc>
          <w:tcPr>
            <w:tcW w:type="dxa" w:w="27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IONOS Cloud GmbH</w:t>
              <w:br/>
              <w:t>Hosting, Compute, Speicher, Monitoring</w:t>
            </w:r>
          </w:p>
        </w:tc>
        <w:tc>
          <w:tcPr>
            <w:tcW w:type="dxa" w:w="30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Persistente Plattformdaten, Datenbank, Dateien, Cache, Betriebs- und Sicherheitsdaten</w:t>
            </w:r>
          </w:p>
        </w:tc>
        <w:tc>
          <w:tcPr>
            <w:tcW w:type="dxa" w:w="3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Frankfurt am Main, Deutschland (de/fra); selbst betriebene Plattformkomponenten</w:t>
            </w:r>
          </w:p>
        </w:tc>
      </w:tr>
      <w:tr>
        <w:trPr>
          <w:cantSplit w:val="true"/>
        </w:trPr>
        <w:tc>
          <w:tcPr>
            <w:tcW w:type="dxa" w:w="27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IONOS SE</w:t>
              <w:br/>
              <w:t>Transaktionale E-Mail</w:t>
            </w:r>
          </w:p>
        </w:tc>
        <w:tc>
          <w:tcPr>
            <w:tcW w:type="dxa" w:w="30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E-Mail-Adresse, Nachricht, Verifikations-, Login-, Sicherheits- oder Serviceinformationen</w:t>
            </w:r>
          </w:p>
        </w:tc>
        <w:tc>
          <w:tcPr>
            <w:tcW w:type="dxa" w:w="3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Deutschland / EU; Versand über smtp.ionos.de</w:t>
            </w:r>
          </w:p>
        </w:tc>
      </w:tr>
      <w:tr>
        <w:trPr>
          <w:cantSplit w:val="true"/>
        </w:trPr>
        <w:tc>
          <w:tcPr>
            <w:tcW w:type="dxa" w:w="27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IONOS Cloud GmbH</w:t>
              <w:br/>
              <w:t>AI Model Hub</w:t>
            </w:r>
          </w:p>
        </w:tc>
        <w:tc>
          <w:tcPr>
            <w:tcW w:type="dxa" w:w="30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Prompt, erforderliche Anhänge oder Auszüge, Ausgabe und Request-Metadaten</w:t>
            </w:r>
          </w:p>
        </w:tc>
        <w:tc>
          <w:tcPr>
            <w:tcW w:type="dxa" w:w="3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Berlin, Deutschland (de-txl); nach Anbieterangabe zustandslose Verarbeitung, kein Logging oder Training von Prompt und Ausgabe</w:t>
            </w:r>
          </w:p>
        </w:tc>
      </w:tr>
      <w:tr>
        <w:trPr>
          <w:cantSplit w:val="true"/>
        </w:trPr>
        <w:tc>
          <w:tcPr>
            <w:tcW w:type="dxa" w:w="27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STACKIT GmbH &amp; Co. KG</w:t>
              <w:br/>
              <w:t>KI-Inferenz</w:t>
            </w:r>
          </w:p>
        </w:tc>
        <w:tc>
          <w:tcPr>
            <w:tcW w:type="dxa" w:w="30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Prompt, erforderliche Anhänge oder Auszüge, Ausgabe und Request-Metadaten</w:t>
            </w:r>
          </w:p>
        </w:tc>
        <w:tc>
          <w:tcPr>
            <w:tcW w:type="dxa" w:w="3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Germany South / EU01; nur freigegebene Modelle und produktspezifisch belegte Bedingungen</w:t>
            </w:r>
          </w:p>
        </w:tc>
      </w:tr>
      <w:tr>
        <w:trPr>
          <w:cantSplit w:val="true"/>
        </w:trPr>
        <w:tc>
          <w:tcPr>
            <w:tcW w:type="dxa" w:w="27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Mistral AI SAS</w:t>
              <w:br/>
              <w:t>KI, Audio-Transkription, native Websuche</w:t>
            </w:r>
          </w:p>
        </w:tc>
        <w:tc>
          <w:tcPr>
            <w:tcW w:type="dxa" w:w="30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Prompt, Audio, erforderliche Anhänge, Suchanfrage, Ausgabe und Request-Metadaten</w:t>
            </w:r>
          </w:p>
        </w:tc>
        <w:tc>
          <w:tcPr>
            <w:tcW w:type="dxa" w:w="3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Globaler API-Endpunkt; mögliche Drittländer. DPA/SCC, Trainings-Opt-out und gegebenenfalls Zero Data Retention müssen kontobezogen nachgewiesen sein</w:t>
            </w:r>
          </w:p>
        </w:tc>
      </w:tr>
      <w:tr>
        <w:trPr>
          <w:cantSplit w:val="true"/>
        </w:trPr>
        <w:tc>
          <w:tcPr>
            <w:tcW w:type="dxa" w:w="27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Microsoft Ireland Operations Ltd.</w:t>
              <w:br/>
              <w:t>Azure AI</w:t>
            </w:r>
          </w:p>
        </w:tc>
        <w:tc>
          <w:tcPr>
            <w:tcW w:type="dxa" w:w="30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Prompt, erforderliche Anhänge oder Auszüge, Ausgabe und Request-Metadaten</w:t>
            </w:r>
          </w:p>
        </w:tc>
        <w:tc>
          <w:tcPr>
            <w:tcW w:type="dxa" w:w="3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Germany West Central oder Sweden Central; funktions- und deploymentabhängig</w:t>
            </w:r>
          </w:p>
        </w:tc>
      </w:tr>
      <w:tr>
        <w:trPr>
          <w:cantSplit w:val="true"/>
        </w:trPr>
        <w:tc>
          <w:tcPr>
            <w:tcW w:type="dxa" w:w="27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Amazon Web Services EMEA SARL</w:t>
              <w:br/>
              <w:t>Bedrock, Bildgenerierung</w:t>
            </w:r>
          </w:p>
        </w:tc>
        <w:tc>
          <w:tcPr>
            <w:tcW w:type="dxa" w:w="30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Prompt, erforderliche Anhänge oder Bilder, Ausgabe und Request-Metadaten</w:t>
            </w:r>
          </w:p>
        </w:tc>
        <w:tc>
          <w:tcPr>
            <w:tcW w:type="dxa" w:w="3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eu-central-1, Frankfurt; je Modell weitere EU-Zielregionen möglich. Kontoeinstellung steht auf „inherit“, deshalb gilt die jeweilige Modellregel</w:t>
            </w:r>
          </w:p>
        </w:tc>
      </w:tr>
      <w:tr>
        <w:trPr>
          <w:cantSplit w:val="true"/>
        </w:trPr>
        <w:tc>
          <w:tcPr>
            <w:tcW w:type="dxa" w:w="27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Google Cloud EMEA Limited</w:t>
              <w:br/>
              <w:t>Vertex AI / Gemini</w:t>
            </w:r>
          </w:p>
        </w:tc>
        <w:tc>
          <w:tcPr>
            <w:tcW w:type="dxa" w:w="30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Prompt, erforderliche Anhänge oder Bilder, Ausgabe und Request-Metadaten</w:t>
            </w:r>
          </w:p>
        </w:tc>
        <w:tc>
          <w:tcPr>
            <w:tcW w:type="dxa" w:w="3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europe-west1, Belgien; funktionsabhängige Verarbeitung in der Google-Cloud-Geografie. Spezielle Funktionen können eigene Aufbewahrungsregeln haben</w:t>
            </w:r>
          </w:p>
        </w:tc>
      </w:tr>
      <w:tr>
        <w:trPr>
          <w:cantSplit w:val="true"/>
        </w:trPr>
        <w:tc>
          <w:tcPr>
            <w:tcW w:type="dxa" w:w="27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Perplexity AI, Inc.</w:t>
              <w:br/>
              <w:t>Sonar mit Webrecherche</w:t>
            </w:r>
          </w:p>
        </w:tc>
        <w:tc>
          <w:tcPr>
            <w:tcW w:type="dxa" w:w="30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Prompt oder Suchanfrage, Ausgabe und technische Abrechnungsmetadaten</w:t>
            </w:r>
          </w:p>
        </w:tc>
        <w:tc>
          <w:tcPr>
            <w:tcW w:type="dxa" w:w="3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USA / AWS Nordamerika; DPA, geeigneter Transfermechanismus und Transferprüfung erforderlich. Sonar API wird als Zero-Retention-/No-Training-Funktion geführt</w:t>
            </w:r>
          </w:p>
        </w:tc>
      </w:tr>
    </w:tbl>
    <w:p>
      <w:pPr>
        <w:pStyle w:val="Heading1"/>
        <w:keepNext/>
      </w:pPr>
      <w:r>
        <w:t>6. Anbieter und Orte – Suche, Integrationen und weitere Empfänger</w:t>
      </w:r>
    </w:p>
    <w:tbl>
      <w:tblPr>
        <w:tblW w:type="dxa" w:w="9360"/>
        <w:tblLayout w:type="fixed"/>
        <w:tblLook w:firstColumn="1" w:firstRow="1" w:lastColumn="0" w:lastRow="0" w:noHBand="0" w:noVBand="1" w:val="04A0"/>
        <w:jc w:val="left"/>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750"/>
        <w:gridCol w:w="3050"/>
        <w:gridCol w:w="3560"/>
      </w:tblGrid>
      <w:tr>
        <w:trPr>
          <w:tblHeader w:val="true"/>
          <w:cantSplit w:val="true"/>
        </w:trPr>
        <w:tc>
          <w:tcPr>
            <w:tcW w:type="dxa" w:w="275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Anbieter / Funktion</w:t>
            </w:r>
          </w:p>
        </w:tc>
        <w:tc>
          <w:tcPr>
            <w:tcW w:type="dxa" w:w="305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Mögliche Daten</w:t>
            </w:r>
          </w:p>
        </w:tc>
        <w:tc>
          <w:tcPr>
            <w:tcW w:type="dxa" w:w="356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Ort und wesentliche Bedingung</w:t>
            </w:r>
          </w:p>
        </w:tc>
      </w:tr>
      <w:tr>
        <w:trPr>
          <w:cantSplit w:val="true"/>
        </w:trPr>
        <w:tc>
          <w:tcPr>
            <w:tcW w:type="dxa" w:w="27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StackOne Technologies Limited</w:t>
              <w:br/>
              <w:t>Optionale Konnektoren</w:t>
            </w:r>
          </w:p>
        </w:tc>
        <w:tc>
          <w:tcPr>
            <w:tcW w:type="dxa" w:w="30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Nur freigegebene Kontoreferenzen, Berechtigungen und erforderliche Daten verbundener Systeme</w:t>
            </w:r>
          </w:p>
        </w:tc>
        <w:tc>
          <w:tcPr>
            <w:tcW w:type="dxa" w:w="3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EU1 / Vereinigtes Königreich sowie das vom Kunden gewählte Zielsystem; nur nach ausdrücklicher Verbindung</w:t>
            </w:r>
          </w:p>
        </w:tc>
      </w:tr>
      <w:tr>
        <w:trPr>
          <w:cantSplit w:val="true"/>
        </w:trPr>
        <w:tc>
          <w:tcPr>
            <w:tcW w:type="dxa" w:w="27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Linkup Technologies SAS</w:t>
              <w:br/>
              <w:t>Websuche und URL-Abruf</w:t>
            </w:r>
          </w:p>
        </w:tc>
        <w:tc>
          <w:tcPr>
            <w:tcW w:type="dxa" w:w="30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Suchanfrage oder URL und erforderliche technische Metadaten</w:t>
            </w:r>
          </w:p>
        </w:tc>
        <w:tc>
          <w:tcPr>
            <w:tcW w:type="dxa" w:w="3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EU. Für personenbezogene Auftragsdaten nur nach dokumentiertem DPA und dokumentierter Aufbewahrungsregel freigegeben; die technische Freigabe setzt die Betreiberkennzeichen für DPA und Retention voraus. Zero Data Retention gilt nur bei nachgewiesener Aktivierung</w:t>
            </w:r>
          </w:p>
        </w:tc>
      </w:tr>
      <w:tr>
        <w:trPr>
          <w:cantSplit w:val="true"/>
        </w:trPr>
        <w:tc>
          <w:tcPr>
            <w:tcW w:type="dxa" w:w="27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Pexels / Canva Germany GmbH</w:t>
              <w:br/>
              <w:t>Stockbildsuche</w:t>
            </w:r>
          </w:p>
        </w:tc>
        <w:tc>
          <w:tcPr>
            <w:tcW w:type="dxa" w:w="30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Abstrahierte Bildsuchbegriffe und Nutzungsmetadaten</w:t>
            </w:r>
          </w:p>
        </w:tc>
        <w:tc>
          <w:tcPr>
            <w:tcW w:type="dxa" w:w="3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Anbieterinfrastruktur; nur nicht personenbezogene und nicht vertrauliche Suchbegriffe zulässig</w:t>
            </w:r>
          </w:p>
        </w:tc>
      </w:tr>
      <w:tr>
        <w:trPr>
          <w:cantSplit w:val="true"/>
        </w:trPr>
        <w:tc>
          <w:tcPr>
            <w:tcW w:type="dxa" w:w="27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Google oder Apple</w:t>
              <w:br/>
              <w:t>Vom Nutzer gewählte Anmeldung</w:t>
            </w:r>
          </w:p>
        </w:tc>
        <w:tc>
          <w:tcPr>
            <w:tcW w:type="dxa" w:w="30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Anmelde- und Kontoreferenz, E-Mail-Adresse beziehungsweise Identitätsattribute nach Freigabe</w:t>
            </w:r>
          </w:p>
        </w:tc>
        <w:tc>
          <w:tcPr>
            <w:tcW w:type="dxa" w:w="3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Nach der eigenen Infrastruktur und Datenschutzrolle des gewählten Identitätsanbieters</w:t>
            </w:r>
          </w:p>
        </w:tc>
      </w:tr>
      <w:tr>
        <w:trPr>
          <w:cantSplit w:val="true"/>
        </w:trPr>
        <w:tc>
          <w:tcPr>
            <w:tcW w:type="dxa" w:w="27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Vom Kunden verbundene Zielsysteme</w:t>
            </w:r>
          </w:p>
        </w:tc>
        <w:tc>
          <w:tcPr>
            <w:tcW w:type="dxa" w:w="30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Inhalte und Metadaten im freigegebenen Berechtigungsumfang</w:t>
            </w:r>
          </w:p>
        </w:tc>
        <w:tc>
          <w:tcPr>
            <w:tcW w:type="dxa" w:w="3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Vom Kunden bestimmter Anbieter und Standort, zum Beispiel Google Workspace, Gmail, Drive, Calendar, Analytics, Search Console oder Trello</w:t>
            </w:r>
          </w:p>
        </w:tc>
      </w:tr>
      <w:tr>
        <w:trPr>
          <w:cantSplit w:val="true"/>
        </w:trPr>
        <w:tc>
          <w:tcPr>
            <w:tcW w:type="dxa" w:w="27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Creem oder Apple App Store</w:t>
              <w:br/>
              <w:t>Spätere Zahlungs-/Store-Abwicklung</w:t>
            </w:r>
          </w:p>
        </w:tc>
        <w:tc>
          <w:tcPr>
            <w:tcW w:type="dxa" w:w="30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Kunden-, Bestell-, Tarif- und Statusreferenzen; keine vollständigen Karten- oder Bankdaten bei Vantero</w:t>
            </w:r>
          </w:p>
        </w:tc>
        <w:tc>
          <w:tcPr>
            <w:tcW w:type="dxa" w:w="3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Derzeit nicht für ein kostenpflichtiges Vantero-Abonnement aktiv. Bei späterer Aktivierung nach eigener Rolle und Infrastruktur des Vertriebskanals</w:t>
            </w:r>
          </w:p>
        </w:tc>
      </w:tr>
    </w:tbl>
    <w:p>
      <w:pPr>
        <w:pStyle w:val="Heading2"/>
        <w:keepNext/>
      </w:pPr>
      <w:r>
        <w:t>Drittlandverarbeitung</w:t>
      </w:r>
    </w:p>
    <w:p>
      <w:pPr>
        <w:spacing w:before="0" w:after="120" w:line="264" w:lineRule="auto"/>
      </w:pPr>
      <w:r>
        <w:rPr>
          <w:rFonts w:ascii="Lato Light" w:hAnsi="Lato Light" w:eastAsia="Lato Light" w:cs="Lato Light"/>
          <w:b w:val="0"/>
          <w:i w:val="0"/>
          <w:color w:val="000000"/>
          <w:sz w:val="22"/>
        </w:rPr>
        <w:t>Soweit personenbezogene Daten außerhalb des EWR verarbeitet werden, setzt die Freigabe eine Rechtsgrundlage nach Kapitel V DSGVO voraus, etwa einen anwendbaren Angemessenheitsbeschluss oder geeignete Garantien wie Standardvertragsklauseln. Soweit erforderlich, wird zusätzlich eine Transfer-Risikobewertung dokumentiert. Der konkrete Mechanismus wird in der Einzelfallantwort angegeben, sofern eine Drittlandverarbeitung tatsächlich betroffen war.</w:t>
      </w:r>
    </w:p>
    <w:p>
      <w:pPr>
        <w:pStyle w:val="Heading1"/>
        <w:keepNext/>
      </w:pPr>
      <w:r>
        <w:t>7. Aufbewahrung, Löschung und Training</w:t>
      </w:r>
    </w:p>
    <w:tbl>
      <w:tblPr>
        <w:tblW w:type="dxa" w:w="9360"/>
        <w:tblLayout w:type="fixed"/>
        <w:tblLook w:firstColumn="1" w:firstRow="1" w:lastColumn="0" w:lastRow="0" w:noHBand="0" w:noVBand="1" w:val="04A0"/>
        <w:jc w:val="left"/>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800"/>
        <w:gridCol w:w="6560"/>
      </w:tblGrid>
      <w:tr>
        <w:trPr>
          <w:tblHeader w:val="true"/>
          <w:cantSplit w:val="true"/>
        </w:trPr>
        <w:tc>
          <w:tcPr>
            <w:tcW w:type="dxa" w:w="280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Bereich</w:t>
            </w:r>
          </w:p>
        </w:tc>
        <w:tc>
          <w:tcPr>
            <w:tcW w:type="dxa" w:w="656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Allgemeine Regel</w:t>
            </w:r>
          </w:p>
        </w:tc>
      </w:tr>
      <w:tr>
        <w:trPr>
          <w:cantSplit w:val="true"/>
        </w:trPr>
        <w:tc>
          <w:tcPr>
            <w:tcW w:type="dxa" w:w="28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Konten, Workspaces, Chats und Dateien</w:t>
            </w:r>
          </w:p>
        </w:tc>
        <w:tc>
          <w:tcPr>
            <w:tcW w:type="dxa" w:w="6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Bis zur nutzer- oder administrativ ausgelösten Löschung beziehungsweise bis zum Vertragsende; anschließend Löschung oder Anonymisierung nach dem dokumentierten Löschverfahren.</w:t>
            </w:r>
          </w:p>
        </w:tc>
      </w:tr>
      <w:tr>
        <w:trPr>
          <w:cantSplit w:val="true"/>
        </w:trPr>
        <w:tc>
          <w:tcPr>
            <w:tcW w:type="dxa" w:w="28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Sitzungen</w:t>
            </w:r>
          </w:p>
        </w:tc>
        <w:tc>
          <w:tcPr>
            <w:tcW w:type="dxa" w:w="6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Regulär bis zu 7 Tage; Sicherheits- oder widerrufsbezogene Statusdaten nur soweit erforderlich.</w:t>
            </w:r>
          </w:p>
        </w:tc>
      </w:tr>
      <w:tr>
        <w:trPr>
          <w:cantSplit w:val="true"/>
        </w:trPr>
        <w:tc>
          <w:tcPr>
            <w:tcW w:type="dxa" w:w="28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Zentrale Anwendungs-, Audit- und Sicherheitslogs</w:t>
            </w:r>
          </w:p>
        </w:tc>
        <w:tc>
          <w:tcPr>
            <w:tcW w:type="dxa" w:w="6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Zugriffsbeschränkt; Rotation oder Löschung nach Zweck und dokumentierter Systemkonfiguration. Inhalte von Prompts, Dateien und Antworten werden nicht gezielt zu Analysezwecken protokolliert; unvermeidbare Fehlerkontexte werden minimiert. Erforderliche Vorfallauszüge können bis zum Abschluss der Prüfung gesperrt aufbewahrt werden.</w:t>
            </w:r>
          </w:p>
        </w:tc>
      </w:tr>
      <w:tr>
        <w:trPr>
          <w:cantSplit w:val="true"/>
        </w:trPr>
        <w:tc>
          <w:tcPr>
            <w:tcW w:type="dxa" w:w="28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Operative Sicherungen</w:t>
            </w:r>
          </w:p>
        </w:tc>
        <w:tc>
          <w:tcPr>
            <w:tcW w:type="dxa" w:w="6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Vollständige Datenbank- und Objektspeichersicherungen alle 6 Stunden; 28 rollierende Generationen, entsprechend 7 Tagen.</w:t>
            </w:r>
          </w:p>
        </w:tc>
      </w:tr>
      <w:tr>
        <w:trPr>
          <w:cantSplit w:val="true"/>
        </w:trPr>
        <w:tc>
          <w:tcPr>
            <w:tcW w:type="dxa" w:w="28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Historische Snapshots</w:t>
            </w:r>
          </w:p>
        </w:tc>
        <w:tc>
          <w:tcPr>
            <w:tcW w:type="dxa" w:w="6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Getrennt und zugriffsbeschränkt; nicht für den laufenden Betrieb verwendet, regelmäßig auf Erforderlichkeit geprüft und nach dokumentiertem Zweckfortfall gelöscht. Gesetzliche oder nachweisbar erforderliche Ausnahmen werden gesperrt und einzeln dokumentiert.</w:t>
            </w:r>
          </w:p>
        </w:tc>
      </w:tr>
      <w:tr>
        <w:trPr>
          <w:cantSplit w:val="true"/>
        </w:trPr>
        <w:tc>
          <w:tcPr>
            <w:tcW w:type="dxa" w:w="28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Externe KI-, Such- und Integrationsanbieter</w:t>
            </w:r>
          </w:p>
        </w:tc>
        <w:tc>
          <w:tcPr>
            <w:tcW w:type="dxa" w:w="6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Anbieterspezifisch. Es gilt nur die für Konto, Produkt, Funktion und Modell dokumentierte Aufbewahrungsregel; eine Zero-Retention-Zusage wird nicht pauschal über alle Anbieter abgegeben.</w:t>
            </w:r>
          </w:p>
        </w:tc>
      </w:tr>
      <w:tr>
        <w:trPr>
          <w:cantSplit w:val="true"/>
        </w:trPr>
        <w:tc>
          <w:tcPr>
            <w:tcW w:type="dxa" w:w="28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Training</w:t>
            </w:r>
          </w:p>
        </w:tc>
        <w:tc>
          <w:tcPr>
            <w:tcW w:type="dxa" w:w="6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Vantero trainiert keine eigenen Modelle mit Eingaben oder Ausgaben. Drittanbieter dürfen Auftragsdaten nur im Rahmen dokumentierter Trainingsausschlüsse oder Opt-out-Konfigurationen verarbeiten; Feedback zu Trainingszwecken wird nicht übermittelt.</w:t>
            </w:r>
          </w:p>
        </w:tc>
      </w:tr>
    </w:tbl>
    <w:p>
      <w:pPr>
        <w:pStyle w:val="Heading1"/>
        <w:keepNext/>
      </w:pPr>
      <w:r>
        <w:t>8. Was die AVV Version 1.2 abdeckt</w:t>
      </w:r>
    </w:p>
    <w:p>
      <w:pPr>
        <w:spacing w:before="0" w:after="120" w:line="264" w:lineRule="auto"/>
      </w:pPr>
      <w:r>
        <w:rPr>
          <w:rFonts w:ascii="Lato Light" w:hAnsi="Lato Light" w:eastAsia="Lato Light" w:cs="Lato Light"/>
          <w:b w:val="0"/>
          <w:i w:val="0"/>
          <w:color w:val="000000"/>
          <w:sz w:val="22"/>
        </w:rPr>
        <w:t>Die gesonderte AVV enthält die Mindestbestandteile einer Vereinbarung zur Auftragsverarbeitung nach Art. 28 Abs. 3 und 4 DSGVO, insbesondere:</w:t>
      </w:r>
    </w:p>
    <w:p>
      <w:pPr>
        <w:numPr>
          <w:ilvl w:val="0"/>
          <w:numId w:val="10"/>
        </w:numPr>
        <w:spacing w:after="100" w:line="280" w:lineRule="auto"/>
        <w:ind w:left="720" w:hanging="360"/>
      </w:pPr>
      <w:r>
        <w:rPr>
          <w:rFonts w:ascii="Lato Light" w:hAnsi="Lato Light" w:eastAsia="Lato Light" w:cs="Lato Light"/>
          <w:color w:val="000000"/>
          <w:sz w:val="22"/>
        </w:rPr>
        <w:t>Gegenstand, Dauer, Art und Zweck der Verarbeitung sowie Datenarten und Kategorien betroffener Personen;</w:t>
      </w:r>
    </w:p>
    <w:p>
      <w:pPr>
        <w:numPr>
          <w:ilvl w:val="0"/>
          <w:numId w:val="10"/>
        </w:numPr>
        <w:spacing w:after="100" w:line="280" w:lineRule="auto"/>
        <w:ind w:left="720" w:hanging="360"/>
      </w:pPr>
      <w:r>
        <w:rPr>
          <w:rFonts w:ascii="Lato Light" w:hAnsi="Lato Light" w:eastAsia="Lato Light" w:cs="Lato Light"/>
          <w:color w:val="000000"/>
          <w:sz w:val="22"/>
        </w:rPr>
        <w:t>Verarbeitung nur auf dokumentierte Weisung einschließlich Regeln für Drittlandtransfers;</w:t>
      </w:r>
    </w:p>
    <w:p>
      <w:pPr>
        <w:numPr>
          <w:ilvl w:val="0"/>
          <w:numId w:val="10"/>
        </w:numPr>
        <w:spacing w:after="100" w:line="280" w:lineRule="auto"/>
        <w:ind w:left="720" w:hanging="360"/>
      </w:pPr>
      <w:r>
        <w:rPr>
          <w:rFonts w:ascii="Lato Light" w:hAnsi="Lato Light" w:eastAsia="Lato Light" w:cs="Lato Light"/>
          <w:color w:val="000000"/>
          <w:sz w:val="22"/>
        </w:rPr>
        <w:t>Vertraulichkeitsverpflichtung und technische und organisatorische Maßnahmen nach Art. 32 DSGVO;</w:t>
      </w:r>
    </w:p>
    <w:p>
      <w:pPr>
        <w:numPr>
          <w:ilvl w:val="0"/>
          <w:numId w:val="10"/>
        </w:numPr>
        <w:spacing w:after="100" w:line="280" w:lineRule="auto"/>
        <w:ind w:left="720" w:hanging="360"/>
      </w:pPr>
      <w:r>
        <w:rPr>
          <w:rFonts w:ascii="Lato Light" w:hAnsi="Lato Light" w:eastAsia="Lato Light" w:cs="Lato Light"/>
          <w:color w:val="000000"/>
          <w:sz w:val="22"/>
        </w:rPr>
        <w:t>Genehmigung, Auswahl, Mitteilung und vertragliche Bindung von Unterauftragnehmern;</w:t>
      </w:r>
    </w:p>
    <w:p>
      <w:pPr>
        <w:numPr>
          <w:ilvl w:val="0"/>
          <w:numId w:val="10"/>
        </w:numPr>
        <w:spacing w:after="100" w:line="280" w:lineRule="auto"/>
        <w:ind w:left="720" w:hanging="360"/>
      </w:pPr>
      <w:r>
        <w:rPr>
          <w:rFonts w:ascii="Lato Light" w:hAnsi="Lato Light" w:eastAsia="Lato Light" w:cs="Lato Light"/>
          <w:color w:val="000000"/>
          <w:sz w:val="22"/>
        </w:rPr>
        <w:t>Unterstützung bei Betroffenenrechten, Sicherheitsvorfällen, Datenschutz-Folgenabschätzungen und Behördenkonsultationen;</w:t>
      </w:r>
    </w:p>
    <w:p>
      <w:pPr>
        <w:numPr>
          <w:ilvl w:val="0"/>
          <w:numId w:val="10"/>
        </w:numPr>
        <w:spacing w:after="100" w:line="280" w:lineRule="auto"/>
        <w:ind w:left="720" w:hanging="360"/>
      </w:pPr>
      <w:r>
        <w:rPr>
          <w:rFonts w:ascii="Lato Light" w:hAnsi="Lato Light" w:eastAsia="Lato Light" w:cs="Lato Light"/>
          <w:color w:val="000000"/>
          <w:sz w:val="22"/>
        </w:rPr>
        <w:t>Rückgabe oder Löschung nach Leistungsende und Regeln für gesetzlich erforderliche Aufbewahrung;</w:t>
      </w:r>
    </w:p>
    <w:p>
      <w:pPr>
        <w:numPr>
          <w:ilvl w:val="0"/>
          <w:numId w:val="10"/>
        </w:numPr>
        <w:spacing w:after="100" w:line="280" w:lineRule="auto"/>
        <w:ind w:left="720" w:hanging="360"/>
      </w:pPr>
      <w:r>
        <w:rPr>
          <w:rFonts w:ascii="Lato Light" w:hAnsi="Lato Light" w:eastAsia="Lato Light" w:cs="Lato Light"/>
          <w:color w:val="000000"/>
          <w:sz w:val="22"/>
        </w:rPr>
        <w:t>Nachweise, Kontrollen, Auditrechte, Weisungs- und Incident-Kontakte sowie eine funktionsabhängige Unterauftragnehmerliste.</w:t>
      </w:r>
    </w:p>
    <w:p>
      <w:pPr>
        <w:keepLines/>
        <w:spacing w:before="120" w:after="200" w:line="264" w:lineRule="auto"/>
        <w:ind w:left="115" w:right="115"/>
        <w:shd w:fill="FFFFFF"/>
        <w:pBdr>
          <w:top w:val="single" w:sz="8" w:space="7" w:color="BFBFBF"/>
          <w:left w:val="single" w:sz="8" w:space="7" w:color="BFBFBF"/>
          <w:bottom w:val="single" w:sz="8" w:space="7" w:color="BFBFBF"/>
          <w:right w:val="single" w:sz="8" w:space="7" w:color="BFBFBF"/>
        </w:pBdr>
      </w:pPr>
      <w:r>
        <w:rPr>
          <w:rFonts w:ascii="Lato Light" w:hAnsi="Lato Light" w:eastAsia="Lato Light" w:cs="Lato Light"/>
          <w:b/>
          <w:color w:val="000000"/>
          <w:sz w:val="24"/>
        </w:rPr>
        <w:t>Wichtig für Geschäftskunden</w:t>
        <w:br/>
      </w:r>
      <w:r>
        <w:rPr>
          <w:rFonts w:ascii="Lato Light" w:hAnsi="Lato Light" w:eastAsia="Lato Light" w:cs="Lato Light"/>
          <w:color w:val="000000"/>
          <w:sz w:val="22"/>
        </w:rPr>
        <w:t>Die AVV wird nicht durch bloßen Download geschlossen. Sie muss vor Beginn einer Auftragsverarbeitung in die Leistungsvereinbarung einbezogen oder ausdrücklich elektronisch angenommen werden; Kunden- beziehungsweise Vertragsreferenz, Version und Zeitpunkt der Annahme sind nachweisbar zu speichern.</w:t>
      </w:r>
    </w:p>
    <w:p>
      <w:pPr>
        <w:pStyle w:val="Heading1"/>
        <w:keepNext/>
      </w:pPr>
      <w:r>
        <w:t>9. Antwortblatt für eine individuelle Anfrage</w:t>
      </w:r>
    </w:p>
    <w:p>
      <w:pPr>
        <w:spacing w:before="0" w:after="120" w:line="264" w:lineRule="auto"/>
      </w:pPr>
      <w:r>
        <w:rPr>
          <w:rFonts w:ascii="Lato Light" w:hAnsi="Lato Light" w:eastAsia="Lato Light" w:cs="Lato Light"/>
          <w:b w:val="0"/>
          <w:i w:val="0"/>
          <w:color w:val="000000"/>
          <w:sz w:val="22"/>
        </w:rPr>
        <w:t>Dieses Blatt wird vor Versand ausgefüllt. Es trennt die allgemeine Systembeschreibung von der tatsächlich geprüften Verarbeitung einer Person oder eines Kundenkontos. Nicht zutreffende Felder werden als „nicht betroffen“ gekennzeichnet; nicht bekannte Angaben werden nicht vermutet.</w:t>
      </w:r>
    </w:p>
    <w:p>
      <w:pPr>
        <w:pStyle w:val="Heading2"/>
        <w:keepNext/>
      </w:pPr>
      <w:r>
        <w:t>A. Anfrage und Identifizierung</w:t>
      </w:r>
    </w:p>
    <w:tbl>
      <w:tblPr>
        <w:tblW w:type="dxa" w:w="9360"/>
        <w:jc w:val="left"/>
        <w:tblLayout w:type="fixed"/>
        <w:tblLook w:firstColumn="1" w:firstRow="1" w:lastColumn="0" w:lastRow="0" w:noHBand="0" w:noVBand="1" w:val="04A0"/>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3000"/>
        <w:gridCol w:w="6360"/>
      </w:tblGrid>
      <w:tr>
        <w:trPr>
          <w:tblHeader w:val="true"/>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Feld</w:t>
            </w:r>
          </w:p>
        </w:tc>
        <w:tc>
          <w:tcPr>
            <w:tcW w:type="dxa" w:w="636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Angabe / Ergebnis</w:t>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Internes Aktenzeichen</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Eingang der Anfrage</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Name / Organisation</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Kontakt für die Antwort</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Konto-, Nutzer- oder Workspace-Referenz</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Geprüfter Zeitraum</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Identitätsprüfung</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 ] nicht erforderlich   [ ] abgeschlossen am: __________   [ ] Rückfrage gesendet</w:t>
            </w:r>
          </w:p>
        </w:tc>
      </w:tr>
    </w:tbl>
    <w:p>
      <w:pPr>
        <w:pStyle w:val="Heading2"/>
        <w:keepNext/>
      </w:pPr>
      <w:r>
        <w:t>B. Gegenstand der Anfrage</w:t>
      </w:r>
    </w:p>
    <w:tbl>
      <w:tblPr>
        <w:tblW w:type="dxa" w:w="9360"/>
        <w:jc w:val="left"/>
        <w:tblLayout w:type="fixed"/>
        <w:tblLook w:firstColumn="1" w:firstRow="1" w:lastColumn="0" w:lastRow="0" w:noHBand="0" w:noVBand="1" w:val="04A0"/>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3000"/>
        <w:gridCol w:w="6360"/>
      </w:tblGrid>
      <w:tr>
        <w:trPr>
          <w:tblHeader w:val="true"/>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Feld</w:t>
            </w:r>
          </w:p>
        </w:tc>
        <w:tc>
          <w:tcPr>
            <w:tcW w:type="dxa" w:w="636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Angabe / Ergebnis</w:t>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Gewünschte Information</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 ] Verarbeitungsorte   [ ] Anbieter/Empfänger   [ ] Datenkopie   [ ] Speicherdauer/Löschung</w:t>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Weitere Rechte</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 ] Berichtigung   [ ] Löschung   [ ] Einschränkung   [ ] Widerspruch   [ ] Datenübertragbarkeit</w:t>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Konkretisierung</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br/>
              <w:br/>
            </w:r>
          </w:p>
        </w:tc>
      </w:tr>
    </w:tbl>
    <w:p>
      <w:pPr>
        <w:pStyle w:val="Heading2"/>
        <w:keepNext/>
      </w:pPr>
      <w:r>
        <w:t>C. Prüfschritte</w:t>
      </w:r>
    </w:p>
    <w:tbl>
      <w:tblPr>
        <w:tblW w:type="dxa" w:w="9360"/>
        <w:tblLayout w:type="fixed"/>
        <w:tblLook w:firstColumn="1" w:firstRow="1" w:lastColumn="0" w:lastRow="0" w:noHBand="0" w:noVBand="1" w:val="04A0"/>
        <w:jc w:val="left"/>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4700"/>
        <w:gridCol w:w="4660"/>
      </w:tblGrid>
      <w:tr>
        <w:trPr>
          <w:tblHeader w:val="true"/>
          <w:cantSplit w:val="true"/>
        </w:trPr>
        <w:tc>
          <w:tcPr>
            <w:tcW w:type="dxa" w:w="470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Prüfung</w:t>
            </w:r>
          </w:p>
        </w:tc>
        <w:tc>
          <w:tcPr>
            <w:tcW w:type="dxa" w:w="466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Ergebnis / Nachweis</w:t>
            </w:r>
          </w:p>
        </w:tc>
      </w:tr>
      <w:tr>
        <w:trPr>
          <w:cantSplit w:val="true"/>
        </w:trPr>
        <w:tc>
          <w:tcPr>
            <w:tcW w:type="dxa" w:w="4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 ] Konto-, Nutzer- und Workspace-Zuordnung geprüft</w:t>
            </w:r>
          </w:p>
        </w:tc>
        <w:tc>
          <w:tcPr>
            <w:tcW w:type="dxa" w:w="46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r>
        <w:trPr>
          <w:cantSplit w:val="true"/>
        </w:trPr>
        <w:tc>
          <w:tcPr>
            <w:tcW w:type="dxa" w:w="4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 ] Aktivierte Modelle, Datenzonen und Funktionen im Zeitraum geprüft</w:t>
            </w:r>
          </w:p>
        </w:tc>
        <w:tc>
          <w:tcPr>
            <w:tcW w:type="dxa" w:w="46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r>
        <w:trPr>
          <w:cantSplit w:val="true"/>
        </w:trPr>
        <w:tc>
          <w:tcPr>
            <w:tcW w:type="dxa" w:w="4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 ] Relevante Routing-, Audit- und Sicherheitsprotokolle geprüft</w:t>
            </w:r>
          </w:p>
        </w:tc>
        <w:tc>
          <w:tcPr>
            <w:tcW w:type="dxa" w:w="46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r>
        <w:trPr>
          <w:cantSplit w:val="true"/>
        </w:trPr>
        <w:tc>
          <w:tcPr>
            <w:tcW w:type="dxa" w:w="4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 ] Verbundene Integrationen und Zielsysteme geprüft</w:t>
            </w:r>
          </w:p>
        </w:tc>
        <w:tc>
          <w:tcPr>
            <w:tcW w:type="dxa" w:w="46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r>
        <w:trPr>
          <w:cantSplit w:val="true"/>
        </w:trPr>
        <w:tc>
          <w:tcPr>
            <w:tcW w:type="dxa" w:w="4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 ] Löschstatus, Sicherungszyklus und dokumentierte Ausnahmen geprüft</w:t>
            </w:r>
          </w:p>
        </w:tc>
        <w:tc>
          <w:tcPr>
            <w:tcW w:type="dxa" w:w="46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r>
        <w:trPr>
          <w:cantSplit w:val="true"/>
        </w:trPr>
        <w:tc>
          <w:tcPr>
            <w:tcW w:type="dxa" w:w="4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 ] Drittlandmechanismus und Anbieterfreigabe geprüft</w:t>
            </w:r>
          </w:p>
        </w:tc>
        <w:tc>
          <w:tcPr>
            <w:tcW w:type="dxa" w:w="46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r>
        <w:trPr>
          <w:cantSplit w:val="true"/>
        </w:trPr>
        <w:tc>
          <w:tcPr>
            <w:tcW w:type="dxa" w:w="4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 ] Datenkopie auf Daten Dritter, Geheimnisse und Rechte anderer geprüft</w:t>
            </w:r>
          </w:p>
        </w:tc>
        <w:tc>
          <w:tcPr>
            <w:tcW w:type="dxa" w:w="46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bl>
    <w:p>
      <w:pPr>
        <w:pStyle w:val="Heading1"/>
        <w:keepNext/>
      </w:pPr>
      <w:r>
        <w:t>10. Ergebnis der individuellen Prüfung</w:t>
      </w:r>
    </w:p>
    <w:tbl>
      <w:tblPr>
        <w:tblW w:type="dxa" w:w="9360"/>
        <w:tblLayout w:type="fixed"/>
        <w:tblLook w:firstColumn="1" w:firstRow="1" w:lastColumn="0" w:lastRow="0" w:noHBand="0" w:noVBand="1" w:val="04A0"/>
        <w:jc w:val="left"/>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000"/>
        <w:gridCol w:w="2200"/>
        <w:gridCol w:w="2100"/>
        <w:gridCol w:w="3060"/>
      </w:tblGrid>
      <w:tr>
        <w:trPr>
          <w:tblHeader w:val="true"/>
          <w:cantSplit w:val="true"/>
        </w:trPr>
        <w:tc>
          <w:tcPr>
            <w:tcW w:type="dxa" w:w="200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Funktion / Zeitraum</w:t>
            </w:r>
          </w:p>
        </w:tc>
        <w:tc>
          <w:tcPr>
            <w:tcW w:type="dxa" w:w="220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Tatsächlicher Anbieter</w:t>
            </w:r>
          </w:p>
        </w:tc>
        <w:tc>
          <w:tcPr>
            <w:tcW w:type="dxa" w:w="210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Ort / Transfer</w:t>
            </w:r>
          </w:p>
        </w:tc>
        <w:tc>
          <w:tcPr>
            <w:tcW w:type="dxa" w:w="306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Betroffene Daten und Ergebnis</w:t>
            </w:r>
          </w:p>
        </w:tc>
      </w:tr>
      <w:tr>
        <w:trPr>
          <w:cantSplit w:val="true"/>
        </w:trPr>
        <w:tc>
          <w:tcPr>
            <w:tcW w:type="dxa" w:w="200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c>
          <w:tcPr>
            <w:tcW w:type="dxa" w:w="220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c>
          <w:tcPr>
            <w:tcW w:type="dxa" w:w="210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c>
          <w:tcPr>
            <w:tcW w:type="dxa" w:w="306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r>
      <w:tr>
        <w:trPr>
          <w:cantSplit w:val="true"/>
        </w:trPr>
        <w:tc>
          <w:tcPr>
            <w:tcW w:type="dxa" w:w="200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c>
          <w:tcPr>
            <w:tcW w:type="dxa" w:w="220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c>
          <w:tcPr>
            <w:tcW w:type="dxa" w:w="210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c>
          <w:tcPr>
            <w:tcW w:type="dxa" w:w="306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r>
      <w:tr>
        <w:trPr>
          <w:cantSplit w:val="true"/>
        </w:trPr>
        <w:tc>
          <w:tcPr>
            <w:tcW w:type="dxa" w:w="200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c>
          <w:tcPr>
            <w:tcW w:type="dxa" w:w="220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c>
          <w:tcPr>
            <w:tcW w:type="dxa" w:w="210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c>
          <w:tcPr>
            <w:tcW w:type="dxa" w:w="306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r>
      <w:tr>
        <w:trPr>
          <w:cantSplit w:val="true"/>
        </w:trPr>
        <w:tc>
          <w:tcPr>
            <w:tcW w:type="dxa" w:w="200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c>
          <w:tcPr>
            <w:tcW w:type="dxa" w:w="220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c>
          <w:tcPr>
            <w:tcW w:type="dxa" w:w="210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c>
          <w:tcPr>
            <w:tcW w:type="dxa" w:w="306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r>
      <w:tr>
        <w:trPr>
          <w:cantSplit w:val="true"/>
        </w:trPr>
        <w:tc>
          <w:tcPr>
            <w:tcW w:type="dxa" w:w="200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c>
          <w:tcPr>
            <w:tcW w:type="dxa" w:w="220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c>
          <w:tcPr>
            <w:tcW w:type="dxa" w:w="210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c>
          <w:tcPr>
            <w:tcW w:type="dxa" w:w="3060"/>
            <w:tcMar>
              <w:top w:w="90" w:type="dxa"/>
              <w:start w:w="120" w:type="dxa"/>
              <w:bottom w:w="90" w:type="dxa"/>
              <w:end w:w="120" w:type="dxa"/>
            </w:tcMar>
            <w:vAlign w:val="center"/>
          </w:tcPr>
          <w:p>
            <w:pPr>
              <w:spacing w:before="0" w:after="440" w:line="259" w:lineRule="auto"/>
              <w:jc w:val="left"/>
            </w:pPr>
            <w:r>
              <w:rPr>
                <w:rFonts w:ascii="Lato Light" w:hAnsi="Lato Light" w:eastAsia="Lato Light" w:cs="Lato Light"/>
                <w:b w:val="0"/>
                <w:color w:val="000000"/>
                <w:sz w:val="22"/>
              </w:rPr>
            </w:r>
          </w:p>
        </w:tc>
      </w:tr>
    </w:tbl>
    <w:p>
      <w:pPr>
        <w:pStyle w:val="Heading2"/>
        <w:keepNext/>
      </w:pPr>
      <w:r>
        <w:t>Formulierung für die ausgehende Antwort</w:t>
      </w:r>
    </w:p>
    <w:tbl>
      <w:tblPr>
        <w:tblW w:type="dxa" w:w="9360"/>
        <w:jc w:val="left"/>
        <w:tblLayout w:type="fixed"/>
        <w:tblLook w:firstColumn="1" w:firstRow="1" w:lastColumn="0" w:lastRow="0" w:noHBand="0" w:noVBand="1" w:val="04A0"/>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3000"/>
        <w:gridCol w:w="6360"/>
      </w:tblGrid>
      <w:tr>
        <w:trPr>
          <w:tblHeader w:val="true"/>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Feld</w:t>
            </w:r>
          </w:p>
        </w:tc>
        <w:tc>
          <w:tcPr>
            <w:tcW w:type="dxa" w:w="636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Angabe / Ergebnis</w:t>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Prüfergebnis</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Für den Zeitraum __________________ wurde die dem Konto beziehungsweise Workspace __________________ zuordenbare Verarbeitung geprüft. Das Ergebnis ist in der vorstehenden Tabelle dokumentiert.</w:t>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Speicher- und Löschstatus</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Datenkopie / Anlage</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 ] nicht angefordert   [ ] beigefügt   [ ] teilweise beigefügt; Begründung unten</w:t>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Einschränkungen / Rechte Dritter</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Offene Rückfrage</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bl>
    <w:p>
      <w:pPr>
        <w:pStyle w:val="Heading2"/>
        <w:keepNext/>
      </w:pPr>
      <w:r>
        <w:t>Frist und Freigabe</w:t>
      </w:r>
    </w:p>
    <w:tbl>
      <w:tblPr>
        <w:tblW w:type="dxa" w:w="9360"/>
        <w:jc w:val="left"/>
        <w:tblLayout w:type="fixed"/>
        <w:tblLook w:firstColumn="1" w:firstRow="1" w:lastColumn="0" w:lastRow="0" w:noHBand="0" w:noVBand="1" w:val="04A0"/>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3000"/>
        <w:gridCol w:w="6360"/>
      </w:tblGrid>
      <w:tr>
        <w:trPr>
          <w:tblHeader w:val="true"/>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Feld</w:t>
            </w:r>
          </w:p>
        </w:tc>
        <w:tc>
          <w:tcPr>
            <w:tcW w:type="dxa" w:w="636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Angabe / Ergebnis</w:t>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Reguläres Fristende</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Grundsätzlich einen Monat nach Eingang; konkrete Berechnung: __________________</w:t>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Fristverlängerung</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 ] nein   [ ] ja; Mitteilung innerhalb des ersten Monats am: __________   neues Fristende: __________</w:t>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Bearbeitet durch</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Datenschutz-/Rechtsprüfung</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r>
        <w:trPr>
          <w:cantSplit w:val="true"/>
        </w:trPr>
        <w:tc>
          <w:tcPr>
            <w:tcW w:type="dxa" w:w="3000"/>
            <w:shd w:fill="F2F2F2"/>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Versanddatum und Kanal</w:t>
            </w:r>
          </w:p>
        </w:tc>
        <w:tc>
          <w:tcPr>
            <w:tcW w:type="dxa" w:w="63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r>
          </w:p>
        </w:tc>
      </w:tr>
    </w:tbl>
    <w:p>
      <w:pPr>
        <w:pStyle w:val="Heading1"/>
        <w:keepNext/>
      </w:pPr>
      <w:r>
        <w:t>11. Kontakt, Rechte und öffentliche Unterlagen</w:t>
      </w:r>
    </w:p>
    <w:p>
      <w:pPr>
        <w:spacing w:before="0" w:after="120" w:line="264" w:lineRule="auto"/>
      </w:pPr>
      <w:r>
        <w:rPr>
          <w:rFonts w:ascii="Lato Light" w:hAnsi="Lato Light" w:eastAsia="Lato Light" w:cs="Lato Light"/>
          <w:b w:val="0"/>
          <w:i w:val="0"/>
          <w:color w:val="000000"/>
          <w:sz w:val="22"/>
        </w:rPr>
        <w:t>Datenschutzanfragen, individuelle Auskunftsersuchen und Weisungen im Rahmen einer bestehenden AVV können an kontakt@franco-consulting.com gerichtet werden. Sicherheits- oder Datenschutzvorfälle können zusätzlich an support@vantero.chat mit eindeutigem Betreff gemeldet werden.</w:t>
      </w:r>
    </w:p>
    <w:p>
      <w:pPr>
        <w:spacing w:before="0" w:after="120" w:line="264" w:lineRule="auto"/>
      </w:pPr>
      <w:r>
        <w:rPr>
          <w:rFonts w:ascii="Lato Light" w:hAnsi="Lato Light" w:eastAsia="Lato Light" w:cs="Lato Light"/>
          <w:b w:val="0"/>
          <w:i w:val="0"/>
          <w:color w:val="000000"/>
          <w:sz w:val="22"/>
        </w:rPr>
        <w:t>Betroffene Personen können nach Maßgabe der DSGVO insbesondere Auskunft, Berichtigung, Löschung, Einschränkung, Datenübertragbarkeit und Widerspruch verlangen. Bei einer Auskunft werden – soweit einschlägig – Verarbeitungszwecke, Datenkategorien, Empfänger oder Empfängerkategorien, Speicherdauer beziehungsweise Kriterien, Herkunft, automatisierte Entscheidungsfindung und Drittlandgarantien erläutert. Außerdem besteht das Recht auf Beschwerde bei einer zuständigen Datenschutzaufsichtsbehörde.</w:t>
      </w:r>
    </w:p>
    <w:tbl>
      <w:tblPr>
        <w:tblW w:type="dxa" w:w="9360"/>
        <w:tblLayout w:type="fixed"/>
        <w:tblLook w:firstColumn="1" w:firstRow="1" w:lastColumn="0" w:lastRow="0" w:noHBand="0" w:noVBand="1" w:val="04A0"/>
        <w:jc w:val="left"/>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3700"/>
        <w:gridCol w:w="5660"/>
      </w:tblGrid>
      <w:tr>
        <w:trPr>
          <w:tblHeader w:val="true"/>
          <w:cantSplit w:val="true"/>
        </w:trPr>
        <w:tc>
          <w:tcPr>
            <w:tcW w:type="dxa" w:w="370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Unterlage</w:t>
            </w:r>
          </w:p>
        </w:tc>
        <w:tc>
          <w:tcPr>
            <w:tcW w:type="dxa" w:w="566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Adresse</w:t>
            </w:r>
          </w:p>
        </w:tc>
      </w:tr>
      <w:tr>
        <w:trPr>
          <w:cantSplit w:val="true"/>
        </w:trPr>
        <w:tc>
          <w:tcPr>
            <w:tcW w:type="dxa" w:w="3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Datenschutzerklärung</w:t>
            </w:r>
          </w:p>
        </w:tc>
        <w:tc>
          <w:tcPr>
            <w:tcW w:type="dxa" w:w="56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https://app.vantero.chat/legal/datenschutz</w:t>
            </w:r>
          </w:p>
        </w:tc>
      </w:tr>
      <w:tr>
        <w:trPr>
          <w:cantSplit w:val="true"/>
        </w:trPr>
        <w:tc>
          <w:tcPr>
            <w:tcW w:type="dxa" w:w="3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AVV Version 1.2</w:t>
            </w:r>
          </w:p>
        </w:tc>
        <w:tc>
          <w:tcPr>
            <w:tcW w:type="dxa" w:w="56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https://app.vantero.chat/legal/avv</w:t>
            </w:r>
          </w:p>
        </w:tc>
      </w:tr>
      <w:tr>
        <w:trPr>
          <w:cantSplit w:val="true"/>
        </w:trPr>
        <w:tc>
          <w:tcPr>
            <w:tcW w:type="dxa" w:w="3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Unterauftragnehmerregister</w:t>
            </w:r>
          </w:p>
        </w:tc>
        <w:tc>
          <w:tcPr>
            <w:tcW w:type="dxa" w:w="56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https://app.vantero.chat/legal/subprocessors</w:t>
            </w:r>
          </w:p>
        </w:tc>
      </w:tr>
      <w:tr>
        <w:trPr>
          <w:cantSplit w:val="true"/>
        </w:trPr>
        <w:tc>
          <w:tcPr>
            <w:tcW w:type="dxa" w:w="3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Verarbeitungsübersicht</w:t>
            </w:r>
          </w:p>
        </w:tc>
        <w:tc>
          <w:tcPr>
            <w:tcW w:type="dxa" w:w="56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https://app.vantero.chat/legal/verarbeitung</w:t>
            </w:r>
          </w:p>
        </w:tc>
      </w:tr>
      <w:tr>
        <w:trPr>
          <w:cantSplit w:val="true"/>
        </w:trPr>
        <w:tc>
          <w:tcPr>
            <w:tcW w:type="dxa" w:w="3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Sicherheitskontakt</w:t>
            </w:r>
          </w:p>
        </w:tc>
        <w:tc>
          <w:tcPr>
            <w:tcW w:type="dxa" w:w="56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https://app.vantero.chat/security</w:t>
            </w:r>
          </w:p>
        </w:tc>
      </w:tr>
    </w:tbl>
    <w:p>
      <w:pPr>
        <w:keepLines/>
        <w:spacing w:before="120" w:after="200" w:line="264" w:lineRule="auto"/>
        <w:ind w:left="115" w:right="115"/>
        <w:shd w:fill="FFFFFF"/>
        <w:pBdr>
          <w:top w:val="single" w:sz="8" w:space="7" w:color="BFBFBF"/>
          <w:left w:val="single" w:sz="8" w:space="7" w:color="BFBFBF"/>
          <w:bottom w:val="single" w:sz="8" w:space="7" w:color="BFBFBF"/>
          <w:right w:val="single" w:sz="8" w:space="7" w:color="BFBFBF"/>
        </w:pBdr>
      </w:pPr>
      <w:r>
        <w:rPr>
          <w:rFonts w:ascii="Lato Light" w:hAnsi="Lato Light" w:eastAsia="Lato Light" w:cs="Lato Light"/>
          <w:b/>
          <w:color w:val="000000"/>
          <w:sz w:val="24"/>
        </w:rPr>
        <w:t>Pflegehinweis</w:t>
        <w:br/>
      </w:r>
      <w:r>
        <w:rPr>
          <w:rFonts w:ascii="Lato Light" w:hAnsi="Lato Light" w:eastAsia="Lato Light" w:cs="Lato Light"/>
          <w:color w:val="000000"/>
          <w:sz w:val="22"/>
        </w:rPr>
        <w:t>Vor jedem externen Versand ist der Stand der produktiven Konfiguration zu prüfen. Die allgemeine Matrix wird bei Änderungen von Hosting, Modellen, Datenzonen, Integrationen, Aufbewahrung oder Vertragsstatus aktualisiert. Individuelle Antworten werden mit dem geprüften Zeitraum und den zugrunde gelegten Nachweisen in der Datenschutzakte dokumentiert.</w:t>
      </w:r>
    </w:p>
    <w:p>
      <w:pPr>
        <w:pStyle w:val="Heading1"/>
        <w:keepNext/>
      </w:pPr>
      <w:r>
        <w:t>12. Rechtsgrundlagen dieser Übersicht</w:t>
      </w:r>
    </w:p>
    <w:p>
      <w:pPr>
        <w:spacing w:before="0" w:after="120" w:line="264" w:lineRule="auto"/>
      </w:pPr>
      <w:r>
        <w:rPr>
          <w:rFonts w:ascii="Lato Light" w:hAnsi="Lato Light" w:eastAsia="Lato Light" w:cs="Lato Light"/>
          <w:b/>
          <w:color w:val="000000"/>
          <w:sz w:val="22"/>
        </w:rPr>
        <w:t>Art. 12 und 15 DSGVO</w:t>
      </w:r>
      <w:r>
        <w:rPr>
          <w:rFonts w:ascii="Lato Light" w:hAnsi="Lato Light" w:eastAsia="Lato Light" w:cs="Lato Light"/>
          <w:color w:val="000000"/>
          <w:sz w:val="22"/>
        </w:rPr>
        <w:t xml:space="preserve"> – transparente Information, Fristen und individuelles Auskunftsrecht; </w:t>
      </w:r>
      <w:r>
        <w:rPr>
          <w:rFonts w:ascii="Lato Light" w:hAnsi="Lato Light" w:eastAsia="Lato Light" w:cs="Lato Light"/>
          <w:b/>
          <w:color w:val="000000"/>
          <w:sz w:val="22"/>
        </w:rPr>
        <w:t>Art. 28 DSGVO</w:t>
      </w:r>
      <w:r>
        <w:rPr>
          <w:rFonts w:ascii="Lato Light" w:hAnsi="Lato Light" w:eastAsia="Lato Light" w:cs="Lato Light"/>
          <w:color w:val="000000"/>
          <w:sz w:val="22"/>
        </w:rPr>
        <w:t xml:space="preserve"> – Anforderungen an die Auftragsverarbeitung; </w:t>
      </w:r>
      <w:r>
        <w:rPr>
          <w:rFonts w:ascii="Lato Light" w:hAnsi="Lato Light" w:eastAsia="Lato Light" w:cs="Lato Light"/>
          <w:b/>
          <w:color w:val="000000"/>
          <w:sz w:val="22"/>
        </w:rPr>
        <w:t>Art. 32 DSGVO</w:t>
      </w:r>
      <w:r>
        <w:rPr>
          <w:rFonts w:ascii="Lato Light" w:hAnsi="Lato Light" w:eastAsia="Lato Light" w:cs="Lato Light"/>
          <w:color w:val="000000"/>
          <w:sz w:val="22"/>
        </w:rPr>
        <w:t xml:space="preserve"> – Sicherheit der Verarbeitung; </w:t>
      </w:r>
      <w:r>
        <w:rPr>
          <w:rFonts w:ascii="Lato Light" w:hAnsi="Lato Light" w:eastAsia="Lato Light" w:cs="Lato Light"/>
          <w:b/>
          <w:color w:val="000000"/>
          <w:sz w:val="22"/>
        </w:rPr>
        <w:t>Art. 44 ff. DSGVO</w:t>
      </w:r>
      <w:r>
        <w:rPr>
          <w:rFonts w:ascii="Lato Light" w:hAnsi="Lato Light" w:eastAsia="Lato Light" w:cs="Lato Light"/>
          <w:color w:val="000000"/>
          <w:sz w:val="22"/>
        </w:rPr>
        <w:t xml:space="preserve"> – Übermittlungen in Drittländer. Amtlicher Text: eur-lex.europa.eu/eli/reg/2016/679/oj</w:t>
      </w:r>
    </w:p>
    <w:sectPr w:rsidR="00FC693F" w:rsidRPr="0006063C" w:rsidSect="00034616">
      <w:headerReference w:type="default" r:id="rId9"/>
      <w:footerReference w:type="default" r:id="rId10"/>
      <w:headerReference w:type="first" r:id="rId11"/>
      <w:footerReference w:type="first" r:id="rId12"/>
      <w:headerReference w:type="even" r:id="rId13"/>
      <w:footerReference w:type="even" r:id="rId14"/>
      <w:pgSz w:w="11906" w:h="16838"/>
      <w:pgMar w:top="1134" w:right="1134" w:bottom="1134" w:left="113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ato Light">
    <w:altName w:val="Lato"/>
    <w:panose1 w:val="020F0302020204030203"/>
    <w:charset w:val="00"/>
    <w:family w:val="swiss"/>
    <w:pitch w:val="variable"/>
    <w:sig w:usb0="E00002FF" w:usb1="4000ACFF" w:usb2="00000001"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80"/>
      <w:jc w:val="center"/>
    </w:pPr>
    <w:r>
      <w:rPr>
        <w:rFonts w:ascii="Lato Light" w:hAnsi="Lato Light" w:eastAsia="Lato Light" w:cs="Lato Light"/>
        <w:color w:val="000000"/>
        <w:sz w:val="16"/>
      </w:rPr>
      <w:t xml:space="preserve">Franco Consulting GmbH | Vantero | Kundeninformation | Seite </w:t>
    </w:r>
    <w:r>
      <w:rPr>
        <w:rFonts w:ascii="Lato Light" w:hAnsi="Lato Light" w:eastAsia="Lato Light" w:cs="Lato Light"/>
        <w:color w:val="000000"/>
        <w:sz w:val="17"/>
      </w:rPr>
      <w:fldChar w:fldCharType="begin"/>
      <w:instrText xml:space="preserve"> PAGE </w:instrText>
      <w:fldChar w:fldCharType="separate"/>
      <w:t>1</w:t>
      <w:fldChar w:fldCharType="end"/>
    </w:r>
    <w:r>
      <w:rPr>
        <w:rFonts w:ascii="Lato Light" w:hAnsi="Lato Light" w:eastAsia="Lato Light" w:cs="Lato Light"/>
        <w:color w:val="000000"/>
        <w:sz w:val="16"/>
      </w:rPr>
      <w:t xml:space="preserve"> von </w:t>
    </w:r>
    <w:r>
      <w:rPr>
        <w:rFonts w:ascii="Lato Light" w:hAnsi="Lato Light" w:eastAsia="Lato Light" w:cs="Lato Light"/>
        <w:color w:val="000000"/>
        <w:sz w:val="17"/>
      </w:rP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80"/>
      <w:jc w:val="left"/>
      <w:pBdr>
        <w:bottom w:val="single" w:sz="6" w:space="3" w:color="BFBFBF"/>
      </w:pBdr>
    </w:pPr>
    <w:r>
      <w:rPr>
        <w:rFonts w:ascii="Lato Light" w:hAnsi="Lato Light" w:eastAsia="Lato Light" w:cs="Lato Light"/>
        <w:b/>
        <w:color w:val="000000"/>
        <w:sz w:val="16"/>
      </w:rPr>
      <w:t>VANTERO | KUNDENINFORMATION DATENVERARBEITUNG</w:t>
    </w:r>
    <w:r>
      <w:rPr>
        <w:rFonts w:ascii="Lato Light" w:hAnsi="Lato Light" w:eastAsia="Lato Light" w:cs="Lato Light"/>
        <w:b/>
        <w:color w:val="000000"/>
        <w:sz w:val="16"/>
      </w:rPr>
      <w:t xml:space="preserve">    VERSION 1.1 | STAND 04.09.2026</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720"/>
        </w:tabs>
        <w:ind w:left="720" w:hanging="360"/>
        <w:spacing w:after="100" w:line="280" w:lineRule="auto"/>
      </w:pPr>
      <w:rPr>
        <w:rFonts w:ascii="Lato Light" w:hAnsi="Lato Light" w:eastAsia="Lato Light" w:cs="Lato Light"/>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Light" w:hAnsi="Lato Light" w:eastAsia="Lato Light" w:cs="Lato Light"/>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Lato Light" w:hAnsi="Lato Light" w:eastAsia="Lato Light" w:cs="Lato Light"/>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Lato Light" w:hAnsi="Lato Light" w:eastAsia="Lato Light" w:cs="Lato Light"/>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Lato Light" w:hAnsi="Lato Light" w:eastAsia="Lato Light" w:cs="Lato Light"/>
      <w:b/>
      <w:bCs/>
      <w:color w:val="000000"/>
      <w:sz w:val="24"/>
      <w:szCs w:val="24"/>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Lato Light" w:hAnsi="Lato Light" w:eastAsia="Lato Light" w:cs="Lato Light"/>
      <w:b/>
      <w:bCs/>
      <w:color w:val="00000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Lato Light" w:hAnsi="Lato Light" w:eastAsia="Lato Light" w:cs="Lato Light"/>
      <w:b/>
      <w:bCs/>
      <w:i/>
      <w:iCs/>
      <w:color w:val="000000"/>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Lato Light" w:hAnsi="Lato Light" w:eastAsia="Lato Light" w:cs="Lato Light"/>
      <w:color w:val="00000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Lato Light" w:hAnsi="Lato Light" w:eastAsia="Lato Light" w:cs="Lato Light"/>
      <w:i/>
      <w:iCs/>
      <w:color w:val="00000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Lato Light" w:hAnsi="Lato Light" w:eastAsia="Lato Light" w:cs="Lato Light"/>
      <w:i/>
      <w:iCs/>
      <w:color w:val="00000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Lato Light" w:hAnsi="Lato Light" w:eastAsia="Lato Light" w:cs="Lato Light"/>
      <w:color w:val="000000"/>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Lato Light" w:hAnsi="Lato Light" w:eastAsia="Lato Light" w:cs="Lato Light"/>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Lato Light" w:hAnsi="Lato Light" w:eastAsia="Lato Light" w:cs="Lato Light"/>
      <w:b/>
      <w:bCs/>
      <w:color w:val="000000"/>
      <w:sz w:val="28"/>
      <w:szCs w:val="28"/>
    </w:rPr>
  </w:style>
  <w:style w:type="character" w:customStyle="1" w:styleId="Heading2Char">
    <w:name w:val="Heading 2 Char"/>
    <w:basedOn w:val="DefaultParagraphFont"/>
    <w:link w:val="Heading2"/>
    <w:uiPriority w:val="9"/>
    <w:rsid w:val="00FC693F"/>
    <w:rPr>
      <w:rFonts w:ascii="Lato Light" w:hAnsi="Lato Light" w:eastAsia="Lato Light" w:cs="Lato Light"/>
      <w:b/>
      <w:bCs/>
      <w:color w:val="000000"/>
      <w:sz w:val="24"/>
      <w:szCs w:val="24"/>
    </w:rPr>
  </w:style>
  <w:style w:type="character" w:customStyle="1" w:styleId="Heading3Char">
    <w:name w:val="Heading 3 Char"/>
    <w:basedOn w:val="DefaultParagraphFont"/>
    <w:link w:val="Heading3"/>
    <w:uiPriority w:val="9"/>
    <w:rsid w:val="00FC693F"/>
    <w:rPr>
      <w:rFonts w:ascii="Lato Light" w:hAnsi="Lato Light" w:eastAsia="Lato Light" w:cs="Lato Light"/>
      <w:b/>
      <w:bCs/>
      <w:color w:val="000000"/>
    </w:rPr>
  </w:style>
  <w:style w:type="paragraph" w:styleId="Title">
    <w:name w:val="Title"/>
    <w:basedOn w:val="Normal"/>
    <w:next w:val="Normal"/>
    <w:link w:val="TitleChar"/>
    <w:uiPriority w:val="10"/>
    <w:qFormat/>
    <w:rsid w:val="00FC693F"/>
    <w:pPr>
      <w:pBdr>
        <w:bottom w:val="single" w:sz="8" w:space="4" w:color="4F81BD"/>
      </w:pBdr>
      <w:spacing w:after="300" w:line="240" w:lineRule="auto"/>
      <w:contextualSpacing/>
    </w:pPr>
    <w:rPr>
      <w:rFonts w:ascii="Lato Light" w:hAnsi="Lato Light" w:eastAsia="Lato Light" w:cs="Lato Light"/>
      <w:color w:val="000000"/>
      <w:spacing w:val="5"/>
      <w:kern w:val="28"/>
      <w:sz w:val="52"/>
      <w:szCs w:val="52"/>
    </w:rPr>
  </w:style>
  <w:style w:type="character" w:customStyle="1" w:styleId="TitleChar">
    <w:name w:val="Title Char"/>
    <w:basedOn w:val="DefaultParagraphFont"/>
    <w:link w:val="Title"/>
    <w:uiPriority w:val="10"/>
    <w:rsid w:val="00FC693F"/>
    <w:rPr>
      <w:rFonts w:ascii="Lato Light" w:hAnsi="Lato Light" w:eastAsia="Lato Light" w:cs="Lato Light"/>
      <w:color w:val="000000"/>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Lato Light" w:hAnsi="Lato Light" w:eastAsia="Lato Light" w:cs="Lato Light"/>
      <w:i/>
      <w:iCs/>
      <w:color w:val="000000"/>
      <w:spacing w:val="15"/>
      <w:sz w:val="24"/>
      <w:szCs w:val="24"/>
    </w:rPr>
  </w:style>
  <w:style w:type="character" w:customStyle="1" w:styleId="SubtitleChar">
    <w:name w:val="Subtitle Char"/>
    <w:basedOn w:val="DefaultParagraphFont"/>
    <w:link w:val="Subtitle"/>
    <w:uiPriority w:val="11"/>
    <w:rsid w:val="00FC693F"/>
    <w:rPr>
      <w:rFonts w:ascii="Lato Light" w:hAnsi="Lato Light" w:eastAsia="Lato Light" w:cs="Lato Light"/>
      <w:i/>
      <w:iCs/>
      <w:color w:val="000000"/>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Lato Light" w:hAnsi="Lato Light" w:eastAsia="Lato Light" w:cs="Lato Light"/>
      <w:sz w:val="20"/>
      <w:szCs w:val="20"/>
    </w:rPr>
  </w:style>
  <w:style w:type="character" w:customStyle="1" w:styleId="MacroTextChar">
    <w:name w:val="Macro Text Char"/>
    <w:basedOn w:val="DefaultParagraphFont"/>
    <w:link w:val="MacroText"/>
    <w:uiPriority w:val="99"/>
    <w:rsid w:val="0029639D"/>
    <w:rPr>
      <w:rFonts w:ascii="Lato Light" w:hAnsi="Lato Light" w:eastAsia="Lato Light" w:cs="Lato Light"/>
      <w:sz w:val="20"/>
      <w:szCs w:val="20"/>
    </w:rPr>
  </w:style>
  <w:style w:type="paragraph" w:styleId="Quote">
    <w:name w:val="Quote"/>
    <w:basedOn w:val="Normal"/>
    <w:next w:val="Normal"/>
    <w:link w:val="QuoteChar"/>
    <w:uiPriority w:val="29"/>
    <w:qFormat/>
    <w:rsid w:val="00FC693F"/>
    <w:rPr>
      <w:i/>
      <w:iCs/>
      <w:color w:val="000000"/>
    </w:rPr>
  </w:style>
  <w:style w:type="character" w:customStyle="1" w:styleId="QuoteChar">
    <w:name w:val="Quote Char"/>
    <w:basedOn w:val="DefaultParagraphFont"/>
    <w:link w:val="Quote"/>
    <w:uiPriority w:val="29"/>
    <w:rsid w:val="00FC693F"/>
    <w:rPr>
      <w:i/>
      <w:iCs/>
      <w:color w:val="000000"/>
    </w:rPr>
  </w:style>
  <w:style w:type="character" w:customStyle="1" w:styleId="Heading4Char">
    <w:name w:val="Heading 4 Char"/>
    <w:basedOn w:val="DefaultParagraphFont"/>
    <w:link w:val="Heading4"/>
    <w:uiPriority w:val="9"/>
    <w:semiHidden/>
    <w:rsid w:val="00FC693F"/>
    <w:rPr>
      <w:rFonts w:ascii="Lato Light" w:hAnsi="Lato Light" w:eastAsia="Lato Light" w:cs="Lato Light"/>
      <w:b/>
      <w:bCs/>
      <w:i/>
      <w:iCs/>
      <w:color w:val="000000"/>
    </w:rPr>
  </w:style>
  <w:style w:type="character" w:customStyle="1" w:styleId="Heading5Char">
    <w:name w:val="Heading 5 Char"/>
    <w:basedOn w:val="DefaultParagraphFont"/>
    <w:link w:val="Heading5"/>
    <w:uiPriority w:val="9"/>
    <w:semiHidden/>
    <w:rsid w:val="00FC693F"/>
    <w:rPr>
      <w:rFonts w:ascii="Lato Light" w:hAnsi="Lato Light" w:eastAsia="Lato Light" w:cs="Lato Light"/>
      <w:color w:val="000000"/>
    </w:rPr>
  </w:style>
  <w:style w:type="character" w:customStyle="1" w:styleId="Heading6Char">
    <w:name w:val="Heading 6 Char"/>
    <w:basedOn w:val="DefaultParagraphFont"/>
    <w:link w:val="Heading6"/>
    <w:uiPriority w:val="9"/>
    <w:semiHidden/>
    <w:rsid w:val="00FC693F"/>
    <w:rPr>
      <w:rFonts w:ascii="Lato Light" w:hAnsi="Lato Light" w:eastAsia="Lato Light" w:cs="Lato Light"/>
      <w:i/>
      <w:iCs/>
      <w:color w:val="000000"/>
    </w:rPr>
  </w:style>
  <w:style w:type="character" w:customStyle="1" w:styleId="Heading7Char">
    <w:name w:val="Heading 7 Char"/>
    <w:basedOn w:val="DefaultParagraphFont"/>
    <w:link w:val="Heading7"/>
    <w:uiPriority w:val="9"/>
    <w:semiHidden/>
    <w:rsid w:val="00FC693F"/>
    <w:rPr>
      <w:rFonts w:ascii="Lato Light" w:hAnsi="Lato Light" w:eastAsia="Lato Light" w:cs="Lato Light"/>
      <w:i/>
      <w:iCs/>
      <w:color w:val="000000"/>
    </w:rPr>
  </w:style>
  <w:style w:type="character" w:customStyle="1" w:styleId="Heading8Char">
    <w:name w:val="Heading 8 Char"/>
    <w:basedOn w:val="DefaultParagraphFont"/>
    <w:link w:val="Heading8"/>
    <w:uiPriority w:val="9"/>
    <w:semiHidden/>
    <w:rsid w:val="00FC693F"/>
    <w:rPr>
      <w:rFonts w:ascii="Lato Light" w:hAnsi="Lato Light" w:eastAsia="Lato Light" w:cs="Lato Light"/>
      <w:color w:val="000000"/>
      <w:sz w:val="20"/>
      <w:szCs w:val="20"/>
    </w:rPr>
  </w:style>
  <w:style w:type="character" w:customStyle="1" w:styleId="Heading9Char">
    <w:name w:val="Heading 9 Char"/>
    <w:basedOn w:val="DefaultParagraphFont"/>
    <w:link w:val="Heading9"/>
    <w:uiPriority w:val="9"/>
    <w:semiHidden/>
    <w:rsid w:val="00FC693F"/>
    <w:rPr>
      <w:rFonts w:ascii="Lato Light" w:hAnsi="Lato Light" w:eastAsia="Lato Light" w:cs="Lato Light"/>
      <w:i/>
      <w:iCs/>
      <w:color w:val="000000"/>
      <w:sz w:val="20"/>
      <w:szCs w:val="20"/>
    </w:rPr>
  </w:style>
  <w:style w:type="paragraph" w:styleId="Caption">
    <w:name w:val="caption"/>
    <w:basedOn w:val="Normal"/>
    <w:next w:val="Normal"/>
    <w:uiPriority w:val="35"/>
    <w:semiHidden/>
    <w:unhideWhenUsed/>
    <w:qFormat/>
    <w:rsid w:val="00FC693F"/>
    <w:pPr>
      <w:spacing w:line="240" w:lineRule="auto"/>
    </w:pPr>
    <w:rPr>
      <w:b/>
      <w:bCs/>
      <w:color w:val="000000"/>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pBdr>
      <w:spacing w:before="200" w:after="280"/>
      <w:ind w:left="936" w:right="936"/>
    </w:pPr>
    <w:rPr>
      <w:b/>
      <w:bCs/>
      <w:i/>
      <w:iCs/>
      <w:color w:val="000000"/>
    </w:rPr>
  </w:style>
  <w:style w:type="character" w:customStyle="1" w:styleId="IntenseQuoteChar">
    <w:name w:val="Intense Quote Char"/>
    <w:basedOn w:val="DefaultParagraphFont"/>
    <w:link w:val="IntenseQuote"/>
    <w:uiPriority w:val="30"/>
    <w:rsid w:val="00FC693F"/>
    <w:rPr>
      <w:b/>
      <w:bCs/>
      <w:i/>
      <w:iCs/>
      <w:color w:val="000000"/>
    </w:rPr>
  </w:style>
  <w:style w:type="character" w:styleId="SubtleEmphasis">
    <w:name w:val="Subtle Emphasis"/>
    <w:basedOn w:val="DefaultParagraphFont"/>
    <w:uiPriority w:val="19"/>
    <w:qFormat/>
    <w:rsid w:val="00FC693F"/>
    <w:rPr>
      <w:i/>
      <w:iCs/>
      <w:color w:val="000000"/>
    </w:rPr>
  </w:style>
  <w:style w:type="character" w:styleId="IntenseEmphasis">
    <w:name w:val="Intense Emphasis"/>
    <w:basedOn w:val="DefaultParagraphFont"/>
    <w:uiPriority w:val="21"/>
    <w:qFormat/>
    <w:rsid w:val="00FC693F"/>
    <w:rPr>
      <w:b/>
      <w:bCs/>
      <w:i/>
      <w:iCs/>
      <w:color w:val="000000"/>
    </w:rPr>
  </w:style>
  <w:style w:type="character" w:styleId="SubtleReference">
    <w:name w:val="Subtle Reference"/>
    <w:basedOn w:val="DefaultParagraphFont"/>
    <w:uiPriority w:val="31"/>
    <w:qFormat/>
    <w:rsid w:val="00FC693F"/>
    <w:rPr>
      <w:smallCaps/>
      <w:color w:val="000000"/>
      <w:u w:val="single"/>
    </w:rPr>
  </w:style>
  <w:style w:type="character" w:styleId="IntenseReference">
    <w:name w:val="Intense Reference"/>
    <w:basedOn w:val="DefaultParagraphFont"/>
    <w:uiPriority w:val="32"/>
    <w:qFormat/>
    <w:rsid w:val="00FC693F"/>
    <w:rPr>
      <w:b/>
      <w:bCs/>
      <w:smallCaps/>
      <w:color w:val="000000"/>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000000" w:themeFill="text1"/>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4F81BD" w:themeFill="accent1"/>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C0504D" w:themeFill="accent2"/>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9BBB59" w:themeFill="accent3"/>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8064A2" w:themeFill="accent4"/>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4BACC6" w:themeFill="accent5"/>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F79646" w:themeFill="accent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ato Light" w:hAnsi="Lato Light" w:eastAsia="Lato Light" w:cs="Lato Ligh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hemeFill="text1" w:themeFillTint="3F"/>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hemeFill="text1" w:themeFillTint="3F"/>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o Light" w:hAnsi="Lato Light" w:eastAsia="Lato Light" w:cs="Lato Ligh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hemeFill="accent1" w:themeFillTint="3F"/>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hemeFill="accent1" w:themeFillTint="3F"/>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Lato Light" w:hAnsi="Lato Light" w:eastAsia="Lato Light" w:cs="Lato Ligh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hemeFill="accent2" w:themeFillTint="3F"/>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hemeFill="accent2" w:themeFillTint="3F"/>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ato Light" w:hAnsi="Lato Light" w:eastAsia="Lato Light" w:cs="Lato Ligh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hemeFill="accent3" w:themeFillTint="3F"/>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hemeFill="accent3" w:themeFillTint="3F"/>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Lato Light" w:hAnsi="Lato Light" w:eastAsia="Lato Light" w:cs="Lato Ligh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hemeFill="accent4" w:themeFillTint="3F"/>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hemeFill="accent4" w:themeFillTint="3F"/>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Lato Light" w:hAnsi="Lato Light" w:eastAsia="Lato Light" w:cs="Lato Ligh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hemeFill="accent5" w:themeFillTint="3F"/>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hemeFill="accent5" w:themeFillTint="3F"/>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Lato Light" w:hAnsi="Lato Light" w:eastAsia="Lato Light" w:cs="Lato Ligh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hemeFill="accent6" w:themeFillTint="3F"/>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hemeFill="accent6" w:themeFillTint="3F"/>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0000"/>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000000"/>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000000"/>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000000"/>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000000"/>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000000"/>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000000"/>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000000"/>
        </w:tcBorders>
      </w:tcPr>
    </w:tblStylePr>
    <w:tblStylePr w:type="lastRow">
      <w:rPr>
        <w:b/>
        <w:bCs/>
        <w:color w:val="000000"/>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4F81BD"/>
        </w:tcBorders>
      </w:tcPr>
    </w:tblStylePr>
    <w:tblStylePr w:type="lastRow">
      <w:rPr>
        <w:b/>
        <w:bCs/>
        <w:color w:val="000000"/>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C0504D"/>
        </w:tcBorders>
      </w:tcPr>
    </w:tblStylePr>
    <w:tblStylePr w:type="lastRow">
      <w:rPr>
        <w:b/>
        <w:bCs/>
        <w:color w:val="000000"/>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9BBB59"/>
        </w:tcBorders>
      </w:tcPr>
    </w:tblStylePr>
    <w:tblStylePr w:type="lastRow">
      <w:rPr>
        <w:b/>
        <w:bCs/>
        <w:color w:val="000000"/>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8064A2"/>
        </w:tcBorders>
      </w:tcPr>
    </w:tblStylePr>
    <w:tblStylePr w:type="lastRow">
      <w:rPr>
        <w:b/>
        <w:bCs/>
        <w:color w:val="000000"/>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4BACC6"/>
        </w:tcBorders>
      </w:tcPr>
    </w:tblStylePr>
    <w:tblStylePr w:type="lastRow">
      <w:rPr>
        <w:b/>
        <w:bCs/>
        <w:color w:val="000000"/>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F79646"/>
        </w:tcBorders>
      </w:tcPr>
    </w:tblStylePr>
    <w:tblStylePr w:type="lastRow">
      <w:rPr>
        <w:b/>
        <w:bCs/>
        <w:color w:val="000000"/>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hemeFill="background1"/>
      </w:tcPr>
    </w:tblStylePr>
    <w:tblStylePr w:type="lastRow">
      <w:tblPr/>
      <w:tcPr>
        <w:tcBorders>
          <w:top w:val="single" w:sz="8" w:space="0" w:color="00000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insideH w:val="nil"/>
          <w:insideV w:val="nil"/>
        </w:tcBorders>
        <w:shd w:val="clear" w:color="auto" w:fill="FFFFFF" w:themeFill="background1"/>
      </w:tcPr>
    </w:tblStylePr>
    <w:tblStylePr w:type="lastCol">
      <w:tblPr/>
      <w:tcPr>
        <w:tcBorders>
          <w:top w:val="nil"/>
          <w:left w:val="single" w:sz="8" w:space="0" w:color="00000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hemeFill="background1"/>
      </w:tcPr>
    </w:tblStylePr>
    <w:tblStylePr w:type="lastRow">
      <w:tblPr/>
      <w:tcPr>
        <w:tcBorders>
          <w:top w:val="single" w:sz="8" w:space="0" w:color="4F81BD"/>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insideH w:val="nil"/>
          <w:insideV w:val="nil"/>
        </w:tcBorders>
        <w:shd w:val="clear" w:color="auto" w:fill="FFFFFF" w:themeFill="background1"/>
      </w:tcPr>
    </w:tblStylePr>
    <w:tblStylePr w:type="lastCol">
      <w:tblPr/>
      <w:tcPr>
        <w:tcBorders>
          <w:top w:val="nil"/>
          <w:left w:val="single" w:sz="8" w:space="0" w:color="4F81BD"/>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hemeFill="background1"/>
      </w:tcPr>
    </w:tblStylePr>
    <w:tblStylePr w:type="lastRow">
      <w:tblPr/>
      <w:tcPr>
        <w:tcBorders>
          <w:top w:val="single" w:sz="8" w:space="0" w:color="C0504D"/>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insideH w:val="nil"/>
          <w:insideV w:val="nil"/>
        </w:tcBorders>
        <w:shd w:val="clear" w:color="auto" w:fill="FFFFFF" w:themeFill="background1"/>
      </w:tcPr>
    </w:tblStylePr>
    <w:tblStylePr w:type="lastCol">
      <w:tblPr/>
      <w:tcPr>
        <w:tcBorders>
          <w:top w:val="nil"/>
          <w:left w:val="single" w:sz="8" w:space="0" w:color="C0504D"/>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hemeFill="background1"/>
      </w:tcPr>
    </w:tblStylePr>
    <w:tblStylePr w:type="lastRow">
      <w:tblPr/>
      <w:tcPr>
        <w:tcBorders>
          <w:top w:val="single" w:sz="8" w:space="0" w:color="9BBB59"/>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insideH w:val="nil"/>
          <w:insideV w:val="nil"/>
        </w:tcBorders>
        <w:shd w:val="clear" w:color="auto" w:fill="FFFFFF" w:themeFill="background1"/>
      </w:tcPr>
    </w:tblStylePr>
    <w:tblStylePr w:type="lastCol">
      <w:tblPr/>
      <w:tcPr>
        <w:tcBorders>
          <w:top w:val="nil"/>
          <w:left w:val="single" w:sz="8" w:space="0" w:color="9BBB59"/>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hemeFill="background1"/>
      </w:tcPr>
    </w:tblStylePr>
    <w:tblStylePr w:type="lastRow">
      <w:tblPr/>
      <w:tcPr>
        <w:tcBorders>
          <w:top w:val="single" w:sz="8" w:space="0" w:color="8064A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insideH w:val="nil"/>
          <w:insideV w:val="nil"/>
        </w:tcBorders>
        <w:shd w:val="clear" w:color="auto" w:fill="FFFFFF" w:themeFill="background1"/>
      </w:tcPr>
    </w:tblStylePr>
    <w:tblStylePr w:type="lastCol">
      <w:tblPr/>
      <w:tcPr>
        <w:tcBorders>
          <w:top w:val="nil"/>
          <w:left w:val="single" w:sz="8" w:space="0" w:color="8064A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hemeFill="background1"/>
      </w:tcPr>
    </w:tblStylePr>
    <w:tblStylePr w:type="lastRow">
      <w:tblPr/>
      <w:tcPr>
        <w:tcBorders>
          <w:top w:val="single" w:sz="8" w:space="0" w:color="4BACC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insideH w:val="nil"/>
          <w:insideV w:val="nil"/>
        </w:tcBorders>
        <w:shd w:val="clear" w:color="auto" w:fill="FFFFFF" w:themeFill="background1"/>
      </w:tcPr>
    </w:tblStylePr>
    <w:tblStylePr w:type="lastCol">
      <w:tblPr/>
      <w:tcPr>
        <w:tcBorders>
          <w:top w:val="nil"/>
          <w:left w:val="single" w:sz="8" w:space="0" w:color="4BACC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hemeFill="background1"/>
      </w:tcPr>
    </w:tblStylePr>
    <w:tblStylePr w:type="lastRow">
      <w:tblPr/>
      <w:tcPr>
        <w:tcBorders>
          <w:top w:val="single" w:sz="8" w:space="0" w:color="F7964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insideH w:val="nil"/>
          <w:insideV w:val="nil"/>
        </w:tcBorders>
        <w:shd w:val="clear" w:color="auto" w:fill="FFFFFF" w:themeFill="background1"/>
      </w:tcPr>
    </w:tblStylePr>
    <w:tblStylePr w:type="lastCol">
      <w:tblPr/>
      <w:tcPr>
        <w:tcBorders>
          <w:top w:val="nil"/>
          <w:left w:val="single" w:sz="8" w:space="0" w:color="F7964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insideV w:val="single" w:sz="6" w:space="0" w:color="00000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insideV w:val="single" w:sz="6" w:space="0" w:color="4F81BD"/>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insideV w:val="single" w:sz="6" w:space="0" w:color="C0504D"/>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insideV w:val="single" w:sz="6" w:space="0" w:color="9BBB59"/>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insideV w:val="single" w:sz="6" w:space="0" w:color="8064A2"/>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insideV w:val="single" w:sz="6" w:space="0" w:color="4BACC6"/>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insideV w:val="single" w:sz="6" w:space="0" w:color="F7964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hemeFill="text1"/>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hemeFill="text1"/>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000000" w:themeFill="text1"/>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000000" w:themeFill="text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hemeFill="text1"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hemeFill="accent1"/>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hemeFill="accent1"/>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4F81BD" w:themeFill="accent1"/>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4F81BD" w:themeFill="accent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hemeFill="accent1"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hemeFill="accent2"/>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hemeFill="accent2"/>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C0504D" w:themeFill="accent2"/>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C0504D" w:themeFill="accent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hemeFill="accent2"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hemeFill="accent3"/>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hemeFill="accent3"/>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9BBB59" w:themeFill="accent3"/>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9BBB59" w:themeFill="accent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hemeFill="accent3"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hemeFill="accent4"/>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hemeFill="accent4"/>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8064A2" w:themeFill="accent4"/>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8064A2" w:themeFill="accent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hemeFill="accent4"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hemeFill="accent5"/>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hemeFill="accent5"/>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4BACC6" w:themeFill="accent5"/>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4BACC6" w:themeFill="accent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hemeFill="accent5"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hemeFill="accent6"/>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hemeFill="accent6"/>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F79646" w:themeFill="accent6"/>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F79646" w:themeFill="accent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hemeFill="accent6"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insideH w:val="nil"/>
          <w:insideV w:val="nil"/>
        </w:tcBorders>
        <w:shd w:val="clear" w:color="auto" w:fill="000000" w:themeFill="text1" w:themeFillShade="BF"/>
      </w:tcPr>
    </w:tblStylePr>
    <w:tblStylePr w:type="lastCol">
      <w:tblPr/>
      <w:tcPr>
        <w:tcBorders>
          <w:top w:val="nil"/>
          <w:left w:val="single" w:sz="18" w:space="0" w:color="FFFFFF"/>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insideH w:val="nil"/>
          <w:insideV w:val="nil"/>
        </w:tcBorders>
        <w:shd w:val="clear" w:color="auto" w:fill="365F91" w:themeFill="accent1" w:themeFillShade="BF"/>
      </w:tcPr>
    </w:tblStylePr>
    <w:tblStylePr w:type="lastCol">
      <w:tblPr/>
      <w:tcPr>
        <w:tcBorders>
          <w:top w:val="nil"/>
          <w:left w:val="single" w:sz="18" w:space="0" w:color="FFFFFF"/>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insideH w:val="nil"/>
          <w:insideV w:val="nil"/>
        </w:tcBorders>
        <w:shd w:val="clear" w:color="auto" w:fill="943634" w:themeFill="accent2" w:themeFillShade="BF"/>
      </w:tcPr>
    </w:tblStylePr>
    <w:tblStylePr w:type="lastCol">
      <w:tblPr/>
      <w:tcPr>
        <w:tcBorders>
          <w:top w:val="nil"/>
          <w:left w:val="single" w:sz="18" w:space="0" w:color="FFFFFF"/>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insideH w:val="nil"/>
          <w:insideV w:val="nil"/>
        </w:tcBorders>
        <w:shd w:val="clear" w:color="auto" w:fill="76923C" w:themeFill="accent3" w:themeFillShade="BF"/>
      </w:tcPr>
    </w:tblStylePr>
    <w:tblStylePr w:type="lastCol">
      <w:tblPr/>
      <w:tcPr>
        <w:tcBorders>
          <w:top w:val="nil"/>
          <w:left w:val="single" w:sz="18" w:space="0" w:color="FFFFFF"/>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insideH w:val="nil"/>
          <w:insideV w:val="nil"/>
        </w:tcBorders>
        <w:shd w:val="clear" w:color="auto" w:fill="5F497A" w:themeFill="accent4" w:themeFillShade="BF"/>
      </w:tcPr>
    </w:tblStylePr>
    <w:tblStylePr w:type="lastCol">
      <w:tblPr/>
      <w:tcPr>
        <w:tcBorders>
          <w:top w:val="nil"/>
          <w:left w:val="single" w:sz="18" w:space="0" w:color="FFFFFF"/>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insideH w:val="nil"/>
          <w:insideV w:val="nil"/>
        </w:tcBorders>
        <w:shd w:val="clear" w:color="auto" w:fill="31849B" w:themeFill="accent5" w:themeFillShade="BF"/>
      </w:tcPr>
    </w:tblStylePr>
    <w:tblStylePr w:type="lastCol">
      <w:tblPr/>
      <w:tcPr>
        <w:tcBorders>
          <w:top w:val="nil"/>
          <w:left w:val="single" w:sz="18" w:space="0" w:color="FFFFFF"/>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insideH w:val="nil"/>
          <w:insideV w:val="nil"/>
        </w:tcBorders>
        <w:shd w:val="clear" w:color="auto" w:fill="E36C0A" w:themeFill="accent6" w:themeFillShade="BF"/>
      </w:tcPr>
    </w:tblStylePr>
    <w:tblStylePr w:type="lastCol">
      <w:tblPr/>
      <w:tcPr>
        <w:tcBorders>
          <w:top w:val="nil"/>
          <w:left w:val="single" w:sz="18" w:space="0" w:color="FFFFFF"/>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000000" w:themeFill="text1" w:themeFillShade="99"/>
      </w:tcPr>
    </w:tblStylePr>
    <w:tblStylePr w:type="firstCol">
      <w:rPr>
        <w:color w:val="000000"/>
      </w:rPr>
      <w:tblPr/>
      <w:tcPr>
        <w:tcBorders>
          <w:top w:val="nil"/>
          <w:left w:val="nil"/>
          <w:bottom w:val="nil"/>
          <w:right w:val="nil"/>
          <w:insideH w:val="single" w:sz="4" w:space="0" w:color="000000"/>
          <w:insideV w:val="nil"/>
        </w:tcBorders>
        <w:shd w:val="clear" w:color="auto" w:fill="000000" w:themeFill="text1" w:themeFillShade="99"/>
      </w:tcPr>
    </w:tblStylePr>
    <w:tblStylePr w:type="lastCol">
      <w:rPr>
        <w:color w:val="000000"/>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2C4C74" w:themeFill="accent1" w:themeFillShade="99"/>
      </w:tcPr>
    </w:tblStylePr>
    <w:tblStylePr w:type="firstCol">
      <w:rPr>
        <w:color w:val="000000"/>
      </w:rPr>
      <w:tblPr/>
      <w:tcPr>
        <w:tcBorders>
          <w:top w:val="nil"/>
          <w:left w:val="nil"/>
          <w:bottom w:val="nil"/>
          <w:right w:val="nil"/>
          <w:insideH w:val="single" w:sz="4" w:space="0" w:color="2C4C74"/>
          <w:insideV w:val="nil"/>
        </w:tcBorders>
        <w:shd w:val="clear" w:color="auto" w:fill="2C4C74" w:themeFill="accent1" w:themeFillShade="99"/>
      </w:tcPr>
    </w:tblStylePr>
    <w:tblStylePr w:type="lastCol">
      <w:rPr>
        <w:color w:val="000000"/>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772C2A" w:themeFill="accent2" w:themeFillShade="99"/>
      </w:tcPr>
    </w:tblStylePr>
    <w:tblStylePr w:type="firstCol">
      <w:rPr>
        <w:color w:val="000000"/>
      </w:rPr>
      <w:tblPr/>
      <w:tcPr>
        <w:tcBorders>
          <w:top w:val="nil"/>
          <w:left w:val="nil"/>
          <w:bottom w:val="nil"/>
          <w:right w:val="nil"/>
          <w:insideH w:val="single" w:sz="4" w:space="0" w:color="772C2A"/>
          <w:insideV w:val="nil"/>
        </w:tcBorders>
        <w:shd w:val="clear" w:color="auto" w:fill="772C2A" w:themeFill="accent2" w:themeFillShade="99"/>
      </w:tcPr>
    </w:tblStylePr>
    <w:tblStylePr w:type="lastCol">
      <w:rPr>
        <w:color w:val="000000"/>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5E7530" w:themeFill="accent3" w:themeFillShade="99"/>
      </w:tcPr>
    </w:tblStylePr>
    <w:tblStylePr w:type="firstCol">
      <w:rPr>
        <w:color w:val="000000"/>
      </w:rPr>
      <w:tblPr/>
      <w:tcPr>
        <w:tcBorders>
          <w:top w:val="nil"/>
          <w:left w:val="nil"/>
          <w:bottom w:val="nil"/>
          <w:right w:val="nil"/>
          <w:insideH w:val="single" w:sz="4" w:space="0" w:color="5E7530"/>
          <w:insideV w:val="nil"/>
        </w:tcBorders>
        <w:shd w:val="clear" w:color="auto" w:fill="5E7530" w:themeFill="accent3" w:themeFillShade="99"/>
      </w:tcPr>
    </w:tblStylePr>
    <w:tblStylePr w:type="lastCol">
      <w:rPr>
        <w:color w:val="000000"/>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4C3B62" w:themeFill="accent4" w:themeFillShade="99"/>
      </w:tcPr>
    </w:tblStylePr>
    <w:tblStylePr w:type="firstCol">
      <w:rPr>
        <w:color w:val="000000"/>
      </w:rPr>
      <w:tblPr/>
      <w:tcPr>
        <w:tcBorders>
          <w:top w:val="nil"/>
          <w:left w:val="nil"/>
          <w:bottom w:val="nil"/>
          <w:right w:val="nil"/>
          <w:insideH w:val="single" w:sz="4" w:space="0" w:color="4C3B62"/>
          <w:insideV w:val="nil"/>
        </w:tcBorders>
        <w:shd w:val="clear" w:color="auto" w:fill="4C3B62" w:themeFill="accent4" w:themeFillShade="99"/>
      </w:tcPr>
    </w:tblStylePr>
    <w:tblStylePr w:type="lastCol">
      <w:rPr>
        <w:color w:val="000000"/>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276A7C" w:themeFill="accent5" w:themeFillShade="99"/>
      </w:tcPr>
    </w:tblStylePr>
    <w:tblStylePr w:type="firstCol">
      <w:rPr>
        <w:color w:val="000000"/>
      </w:rPr>
      <w:tblPr/>
      <w:tcPr>
        <w:tcBorders>
          <w:top w:val="nil"/>
          <w:left w:val="nil"/>
          <w:bottom w:val="nil"/>
          <w:right w:val="nil"/>
          <w:insideH w:val="single" w:sz="4" w:space="0" w:color="276A7C"/>
          <w:insideV w:val="nil"/>
        </w:tcBorders>
        <w:shd w:val="clear" w:color="auto" w:fill="276A7C" w:themeFill="accent5" w:themeFillShade="99"/>
      </w:tcPr>
    </w:tblStylePr>
    <w:tblStylePr w:type="lastCol">
      <w:rPr>
        <w:color w:val="000000"/>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B65608" w:themeFill="accent6" w:themeFillShade="99"/>
      </w:tcPr>
    </w:tblStylePr>
    <w:tblStylePr w:type="firstCol">
      <w:rPr>
        <w:color w:val="000000"/>
      </w:rPr>
      <w:tblPr/>
      <w:tcPr>
        <w:tcBorders>
          <w:top w:val="nil"/>
          <w:left w:val="nil"/>
          <w:bottom w:val="nil"/>
          <w:right w:val="nil"/>
          <w:insideH w:val="single" w:sz="4" w:space="0" w:color="B65608"/>
          <w:insideV w:val="nil"/>
        </w:tcBorders>
        <w:shd w:val="clear" w:color="auto" w:fill="B65608" w:themeFill="accent6" w:themeFillShade="99"/>
      </w:tcPr>
    </w:tblStylePr>
    <w:tblStylePr w:type="lastCol">
      <w:rPr>
        <w:color w:val="000000"/>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0000"/>
      </w:rPr>
      <w:tblPr/>
      <w:tcPr>
        <w:tcBorders>
          <w:bottom w:val="single" w:sz="12" w:space="0" w:color="FFFFFF"/>
        </w:tcBorders>
        <w:shd w:val="clear" w:color="auto" w:fill="9E3A38" w:themeFill="accent2"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000000"/>
      </w:rPr>
      <w:tblPr/>
      <w:tcPr>
        <w:tcBorders>
          <w:bottom w:val="single" w:sz="12" w:space="0" w:color="FFFFFF"/>
        </w:tcBorders>
        <w:shd w:val="clear" w:color="auto" w:fill="9E3A38" w:themeFill="accent2"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000000"/>
      </w:rPr>
      <w:tblPr/>
      <w:tcPr>
        <w:tcBorders>
          <w:bottom w:val="single" w:sz="12" w:space="0" w:color="FFFFFF"/>
        </w:tcBorders>
        <w:shd w:val="clear" w:color="auto" w:fill="9E3A38" w:themeFill="accent2"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000000"/>
      </w:rPr>
      <w:tblPr/>
      <w:tcPr>
        <w:tcBorders>
          <w:bottom w:val="single" w:sz="12" w:space="0" w:color="FFFFFF"/>
        </w:tcBorders>
        <w:shd w:val="clear" w:color="auto" w:fill="664E82" w:themeFill="accent4"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000000"/>
      </w:rPr>
      <w:tblPr/>
      <w:tcPr>
        <w:tcBorders>
          <w:bottom w:val="single" w:sz="12" w:space="0" w:color="FFFFFF"/>
        </w:tcBorders>
        <w:shd w:val="clear" w:color="auto" w:fill="7E9C40" w:themeFill="accent3"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000000"/>
      </w:rPr>
      <w:tblPr/>
      <w:tcPr>
        <w:tcBorders>
          <w:bottom w:val="single" w:sz="12" w:space="0" w:color="FFFFFF"/>
        </w:tcBorders>
        <w:shd w:val="clear" w:color="auto" w:fill="F2730A" w:themeFill="accent6"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000000"/>
      </w:rPr>
      <w:tblPr/>
      <w:tcPr>
        <w:tcBorders>
          <w:bottom w:val="single" w:sz="12" w:space="0" w:color="FFFFFF"/>
        </w:tcBorders>
        <w:shd w:val="clear" w:color="auto" w:fill="348DA5" w:themeFill="accent5"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000000"/>
      </w:rPr>
      <w:tblPr/>
      <w:tcPr>
        <w:shd w:val="clear" w:color="auto" w:fill="000000" w:themeFill="text1" w:themeFillShade="BF"/>
      </w:tcPr>
    </w:tblStylePr>
    <w:tblStylePr w:type="lastCol">
      <w:rPr>
        <w:color w:val="000000"/>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000000"/>
      </w:rPr>
      <w:tblPr/>
      <w:tcPr>
        <w:shd w:val="clear" w:color="auto" w:fill="365F91" w:themeFill="accent1" w:themeFillShade="BF"/>
      </w:tcPr>
    </w:tblStylePr>
    <w:tblStylePr w:type="lastCol">
      <w:rPr>
        <w:color w:val="000000"/>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000000"/>
      </w:rPr>
      <w:tblPr/>
      <w:tcPr>
        <w:shd w:val="clear" w:color="auto" w:fill="943634" w:themeFill="accent2" w:themeFillShade="BF"/>
      </w:tcPr>
    </w:tblStylePr>
    <w:tblStylePr w:type="lastCol">
      <w:rPr>
        <w:color w:val="000000"/>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000000"/>
      </w:rPr>
      <w:tblPr/>
      <w:tcPr>
        <w:shd w:val="clear" w:color="auto" w:fill="76923C" w:themeFill="accent3" w:themeFillShade="BF"/>
      </w:tcPr>
    </w:tblStylePr>
    <w:tblStylePr w:type="lastCol">
      <w:rPr>
        <w:color w:val="000000"/>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000000"/>
      </w:rPr>
      <w:tblPr/>
      <w:tcPr>
        <w:shd w:val="clear" w:color="auto" w:fill="5F497A" w:themeFill="accent4" w:themeFillShade="BF"/>
      </w:tcPr>
    </w:tblStylePr>
    <w:tblStylePr w:type="lastCol">
      <w:rPr>
        <w:color w:val="000000"/>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000000"/>
      </w:rPr>
      <w:tblPr/>
      <w:tcPr>
        <w:shd w:val="clear" w:color="auto" w:fill="31849B" w:themeFill="accent5" w:themeFillShade="BF"/>
      </w:tcPr>
    </w:tblStylePr>
    <w:tblStylePr w:type="lastCol">
      <w:rPr>
        <w:color w:val="000000"/>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000000"/>
      </w:rPr>
      <w:tblPr/>
      <w:tcPr>
        <w:shd w:val="clear" w:color="auto" w:fill="E36C0A" w:themeFill="accent6" w:themeFillShade="BF"/>
      </w:tcPr>
    </w:tblStylePr>
    <w:tblStylePr w:type="lastCol">
      <w:rPr>
        <w:color w:val="000000"/>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Light" w:hAnsi="Lato Light" w:eastAsia="Lato Light" w:cs="Lato Light"/>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Lato Light" w:hAnsi="Lato Light" w:eastAsia="Lato Light" w:cs="Lato Light"/>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Lato Light" w:hAnsi="Lato Light" w:eastAsia="Lato Light" w:cs="Lato Light"/>
      <w:b/>
      <w:bCs/>
      <w:color w:val="000000"/>
      <w:sz w:val="24"/>
      <w:szCs w:val="24"/>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Lato Light" w:hAnsi="Lato Light" w:eastAsia="Lato Light" w:cs="Lato Light"/>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Lato Light" w:hAnsi="Lato Light" w:eastAsia="Lato Light" w:cs="Lato Light"/>
      <w:b/>
      <w:bCs/>
      <w:i/>
      <w:iCs/>
      <w:color w:val="000000"/>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Lato Light" w:hAnsi="Lato Light" w:eastAsia="Lato Light" w:cs="Lato Light"/>
      <w:color w:val="00000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Lato Light" w:hAnsi="Lato Light" w:eastAsia="Lato Light" w:cs="Lato Light"/>
      <w:i/>
      <w:iCs/>
      <w:color w:val="00000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Lato Light" w:hAnsi="Lato Light" w:eastAsia="Lato Light" w:cs="Lato Light"/>
      <w:i/>
      <w:iCs/>
      <w:color w:val="00000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Lato Light" w:hAnsi="Lato Light" w:eastAsia="Lato Light" w:cs="Lato Light"/>
      <w:color w:val="000000"/>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Lato Light" w:hAnsi="Lato Light" w:eastAsia="Lato Light" w:cs="Lato Light"/>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Lato Light" w:hAnsi="Lato Light" w:eastAsia="Lato Light" w:cs="Lato Light"/>
      <w:b/>
      <w:bCs/>
      <w:color w:val="000000"/>
      <w:sz w:val="28"/>
      <w:szCs w:val="28"/>
    </w:rPr>
  </w:style>
  <w:style w:type="character" w:customStyle="1" w:styleId="Heading2Char">
    <w:name w:val="Heading 2 Char"/>
    <w:basedOn w:val="DefaultParagraphFont"/>
    <w:link w:val="Heading2"/>
    <w:uiPriority w:val="9"/>
    <w:rsid w:val="00FC693F"/>
    <w:rPr>
      <w:rFonts w:ascii="Lato Light" w:hAnsi="Lato Light" w:eastAsia="Lato Light" w:cs="Lato Light"/>
      <w:b/>
      <w:bCs/>
      <w:color w:val="000000"/>
      <w:sz w:val="24"/>
      <w:szCs w:val="24"/>
    </w:rPr>
  </w:style>
  <w:style w:type="character" w:customStyle="1" w:styleId="Heading3Char">
    <w:name w:val="Heading 3 Char"/>
    <w:basedOn w:val="DefaultParagraphFont"/>
    <w:link w:val="Heading3"/>
    <w:uiPriority w:val="9"/>
    <w:rsid w:val="00FC693F"/>
    <w:rPr>
      <w:rFonts w:ascii="Lato Light" w:hAnsi="Lato Light" w:eastAsia="Lato Light" w:cs="Lato Light"/>
      <w:b/>
      <w:bCs/>
      <w:color w:val="000000"/>
    </w:rPr>
  </w:style>
  <w:style w:type="paragraph" w:styleId="Title">
    <w:name w:val="Title"/>
    <w:basedOn w:val="Normal"/>
    <w:next w:val="Normal"/>
    <w:link w:val="TitleChar"/>
    <w:uiPriority w:val="10"/>
    <w:qFormat/>
    <w:rsid w:val="00FC693F"/>
    <w:pPr>
      <w:pBdr>
        <w:bottom w:val="single" w:sz="8" w:space="4" w:color="4F81BD"/>
      </w:pBdr>
      <w:spacing w:after="300" w:line="240" w:lineRule="auto"/>
      <w:contextualSpacing/>
    </w:pPr>
    <w:rPr>
      <w:rFonts w:ascii="Lato Light" w:hAnsi="Lato Light" w:eastAsia="Lato Light" w:cs="Lato Light"/>
      <w:color w:val="000000"/>
      <w:spacing w:val="5"/>
      <w:kern w:val="28"/>
      <w:sz w:val="52"/>
      <w:szCs w:val="52"/>
    </w:rPr>
  </w:style>
  <w:style w:type="character" w:customStyle="1" w:styleId="TitleChar">
    <w:name w:val="Title Char"/>
    <w:basedOn w:val="DefaultParagraphFont"/>
    <w:link w:val="Title"/>
    <w:uiPriority w:val="10"/>
    <w:rsid w:val="00FC693F"/>
    <w:rPr>
      <w:rFonts w:ascii="Lato Light" w:hAnsi="Lato Light" w:eastAsia="Lato Light" w:cs="Lato Light"/>
      <w:color w:val="000000"/>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Lato Light" w:hAnsi="Lato Light" w:eastAsia="Lato Light" w:cs="Lato Light"/>
      <w:i/>
      <w:iCs/>
      <w:color w:val="000000"/>
      <w:spacing w:val="15"/>
      <w:sz w:val="24"/>
      <w:szCs w:val="24"/>
    </w:rPr>
  </w:style>
  <w:style w:type="character" w:customStyle="1" w:styleId="SubtitleChar">
    <w:name w:val="Subtitle Char"/>
    <w:basedOn w:val="DefaultParagraphFont"/>
    <w:link w:val="Subtitle"/>
    <w:uiPriority w:val="11"/>
    <w:rsid w:val="00FC693F"/>
    <w:rPr>
      <w:rFonts w:ascii="Lato Light" w:hAnsi="Lato Light" w:eastAsia="Lato Light" w:cs="Lato Light"/>
      <w:i/>
      <w:iCs/>
      <w:color w:val="000000"/>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Lato Light" w:hAnsi="Lato Light" w:eastAsia="Lato Light" w:cs="Lato Light"/>
      <w:sz w:val="20"/>
      <w:szCs w:val="20"/>
    </w:rPr>
  </w:style>
  <w:style w:type="character" w:customStyle="1" w:styleId="MacroTextChar">
    <w:name w:val="Macro Text Char"/>
    <w:basedOn w:val="DefaultParagraphFont"/>
    <w:link w:val="MacroText"/>
    <w:uiPriority w:val="99"/>
    <w:rsid w:val="0029639D"/>
    <w:rPr>
      <w:rFonts w:ascii="Lato Light" w:hAnsi="Lato Light" w:eastAsia="Lato Light" w:cs="Lato Light"/>
      <w:sz w:val="20"/>
      <w:szCs w:val="20"/>
    </w:rPr>
  </w:style>
  <w:style w:type="paragraph" w:styleId="Quote">
    <w:name w:val="Quote"/>
    <w:basedOn w:val="Normal"/>
    <w:next w:val="Normal"/>
    <w:link w:val="QuoteChar"/>
    <w:uiPriority w:val="29"/>
    <w:qFormat/>
    <w:rsid w:val="00FC693F"/>
    <w:rPr>
      <w:i/>
      <w:iCs/>
      <w:color w:val="000000"/>
    </w:rPr>
  </w:style>
  <w:style w:type="character" w:customStyle="1" w:styleId="QuoteChar">
    <w:name w:val="Quote Char"/>
    <w:basedOn w:val="DefaultParagraphFont"/>
    <w:link w:val="Quote"/>
    <w:uiPriority w:val="29"/>
    <w:rsid w:val="00FC693F"/>
    <w:rPr>
      <w:i/>
      <w:iCs/>
      <w:color w:val="000000"/>
    </w:rPr>
  </w:style>
  <w:style w:type="character" w:customStyle="1" w:styleId="Heading4Char">
    <w:name w:val="Heading 4 Char"/>
    <w:basedOn w:val="DefaultParagraphFont"/>
    <w:link w:val="Heading4"/>
    <w:uiPriority w:val="9"/>
    <w:semiHidden/>
    <w:rsid w:val="00FC693F"/>
    <w:rPr>
      <w:rFonts w:ascii="Lato Light" w:hAnsi="Lato Light" w:eastAsia="Lato Light" w:cs="Lato Light"/>
      <w:b/>
      <w:bCs/>
      <w:i/>
      <w:iCs/>
      <w:color w:val="000000"/>
    </w:rPr>
  </w:style>
  <w:style w:type="character" w:customStyle="1" w:styleId="Heading5Char">
    <w:name w:val="Heading 5 Char"/>
    <w:basedOn w:val="DefaultParagraphFont"/>
    <w:link w:val="Heading5"/>
    <w:uiPriority w:val="9"/>
    <w:semiHidden/>
    <w:rsid w:val="00FC693F"/>
    <w:rPr>
      <w:rFonts w:ascii="Lato Light" w:hAnsi="Lato Light" w:eastAsia="Lato Light" w:cs="Lato Light"/>
      <w:color w:val="000000"/>
    </w:rPr>
  </w:style>
  <w:style w:type="character" w:customStyle="1" w:styleId="Heading6Char">
    <w:name w:val="Heading 6 Char"/>
    <w:basedOn w:val="DefaultParagraphFont"/>
    <w:link w:val="Heading6"/>
    <w:uiPriority w:val="9"/>
    <w:semiHidden/>
    <w:rsid w:val="00FC693F"/>
    <w:rPr>
      <w:rFonts w:ascii="Lato Light" w:hAnsi="Lato Light" w:eastAsia="Lato Light" w:cs="Lato Light"/>
      <w:i/>
      <w:iCs/>
      <w:color w:val="000000"/>
    </w:rPr>
  </w:style>
  <w:style w:type="character" w:customStyle="1" w:styleId="Heading7Char">
    <w:name w:val="Heading 7 Char"/>
    <w:basedOn w:val="DefaultParagraphFont"/>
    <w:link w:val="Heading7"/>
    <w:uiPriority w:val="9"/>
    <w:semiHidden/>
    <w:rsid w:val="00FC693F"/>
    <w:rPr>
      <w:rFonts w:ascii="Lato Light" w:hAnsi="Lato Light" w:eastAsia="Lato Light" w:cs="Lato Light"/>
      <w:i/>
      <w:iCs/>
      <w:color w:val="000000"/>
    </w:rPr>
  </w:style>
  <w:style w:type="character" w:customStyle="1" w:styleId="Heading8Char">
    <w:name w:val="Heading 8 Char"/>
    <w:basedOn w:val="DefaultParagraphFont"/>
    <w:link w:val="Heading8"/>
    <w:uiPriority w:val="9"/>
    <w:semiHidden/>
    <w:rsid w:val="00FC693F"/>
    <w:rPr>
      <w:rFonts w:ascii="Lato Light" w:hAnsi="Lato Light" w:eastAsia="Lato Light" w:cs="Lato Light"/>
      <w:color w:val="000000"/>
      <w:sz w:val="20"/>
      <w:szCs w:val="20"/>
    </w:rPr>
  </w:style>
  <w:style w:type="character" w:customStyle="1" w:styleId="Heading9Char">
    <w:name w:val="Heading 9 Char"/>
    <w:basedOn w:val="DefaultParagraphFont"/>
    <w:link w:val="Heading9"/>
    <w:uiPriority w:val="9"/>
    <w:semiHidden/>
    <w:rsid w:val="00FC693F"/>
    <w:rPr>
      <w:rFonts w:ascii="Lato Light" w:hAnsi="Lato Light" w:eastAsia="Lato Light" w:cs="Lato Light"/>
      <w:i/>
      <w:iCs/>
      <w:color w:val="000000"/>
      <w:sz w:val="20"/>
      <w:szCs w:val="20"/>
    </w:rPr>
  </w:style>
  <w:style w:type="paragraph" w:styleId="Caption">
    <w:name w:val="caption"/>
    <w:basedOn w:val="Normal"/>
    <w:next w:val="Normal"/>
    <w:uiPriority w:val="35"/>
    <w:semiHidden/>
    <w:unhideWhenUsed/>
    <w:qFormat/>
    <w:rsid w:val="00FC693F"/>
    <w:pPr>
      <w:spacing w:line="240" w:lineRule="auto"/>
    </w:pPr>
    <w:rPr>
      <w:b/>
      <w:bCs/>
      <w:color w:val="000000"/>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pBdr>
      <w:spacing w:before="200" w:after="280"/>
      <w:ind w:left="936" w:right="936"/>
    </w:pPr>
    <w:rPr>
      <w:b/>
      <w:bCs/>
      <w:i/>
      <w:iCs/>
      <w:color w:val="000000"/>
    </w:rPr>
  </w:style>
  <w:style w:type="character" w:customStyle="1" w:styleId="IntenseQuoteChar">
    <w:name w:val="Intense Quote Char"/>
    <w:basedOn w:val="DefaultParagraphFont"/>
    <w:link w:val="IntenseQuote"/>
    <w:uiPriority w:val="30"/>
    <w:rsid w:val="00FC693F"/>
    <w:rPr>
      <w:b/>
      <w:bCs/>
      <w:i/>
      <w:iCs/>
      <w:color w:val="000000"/>
    </w:rPr>
  </w:style>
  <w:style w:type="character" w:styleId="SubtleEmphasis">
    <w:name w:val="Subtle Emphasis"/>
    <w:basedOn w:val="DefaultParagraphFont"/>
    <w:uiPriority w:val="19"/>
    <w:qFormat/>
    <w:rsid w:val="00FC693F"/>
    <w:rPr>
      <w:i/>
      <w:iCs/>
      <w:color w:val="000000"/>
    </w:rPr>
  </w:style>
  <w:style w:type="character" w:styleId="IntenseEmphasis">
    <w:name w:val="Intense Emphasis"/>
    <w:basedOn w:val="DefaultParagraphFont"/>
    <w:uiPriority w:val="21"/>
    <w:qFormat/>
    <w:rsid w:val="00FC693F"/>
    <w:rPr>
      <w:b/>
      <w:bCs/>
      <w:i/>
      <w:iCs/>
      <w:color w:val="000000"/>
    </w:rPr>
  </w:style>
  <w:style w:type="character" w:styleId="SubtleReference">
    <w:name w:val="Subtle Reference"/>
    <w:basedOn w:val="DefaultParagraphFont"/>
    <w:uiPriority w:val="31"/>
    <w:qFormat/>
    <w:rsid w:val="00FC693F"/>
    <w:rPr>
      <w:smallCaps/>
      <w:color w:val="000000"/>
      <w:u w:val="single"/>
    </w:rPr>
  </w:style>
  <w:style w:type="character" w:styleId="IntenseReference">
    <w:name w:val="Intense Reference"/>
    <w:basedOn w:val="DefaultParagraphFont"/>
    <w:uiPriority w:val="32"/>
    <w:qFormat/>
    <w:rsid w:val="00FC693F"/>
    <w:rPr>
      <w:b/>
      <w:bCs/>
      <w:smallCaps/>
      <w:color w:val="000000"/>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000000" w:themeFill="text1"/>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4F81BD" w:themeFill="accent1"/>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C0504D" w:themeFill="accent2"/>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9BBB59" w:themeFill="accent3"/>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8064A2" w:themeFill="accent4"/>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4BACC6" w:themeFill="accent5"/>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F79646" w:themeFill="accent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ato Light" w:hAnsi="Lato Light" w:eastAsia="Lato Light" w:cs="Lato Ligh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hemeFill="text1" w:themeFillTint="3F"/>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hemeFill="text1" w:themeFillTint="3F"/>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o Light" w:hAnsi="Lato Light" w:eastAsia="Lato Light" w:cs="Lato Ligh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hemeFill="accent1" w:themeFillTint="3F"/>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hemeFill="accent1" w:themeFillTint="3F"/>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Lato Light" w:hAnsi="Lato Light" w:eastAsia="Lato Light" w:cs="Lato Ligh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hemeFill="accent2" w:themeFillTint="3F"/>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hemeFill="accent2" w:themeFillTint="3F"/>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ato Light" w:hAnsi="Lato Light" w:eastAsia="Lato Light" w:cs="Lato Ligh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hemeFill="accent3" w:themeFillTint="3F"/>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hemeFill="accent3" w:themeFillTint="3F"/>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Lato Light" w:hAnsi="Lato Light" w:eastAsia="Lato Light" w:cs="Lato Ligh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hemeFill="accent4" w:themeFillTint="3F"/>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hemeFill="accent4" w:themeFillTint="3F"/>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Lato Light" w:hAnsi="Lato Light" w:eastAsia="Lato Light" w:cs="Lato Ligh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hemeFill="accent5" w:themeFillTint="3F"/>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hemeFill="accent5" w:themeFillTint="3F"/>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Lato Light" w:hAnsi="Lato Light" w:eastAsia="Lato Light" w:cs="Lato Ligh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hemeFill="accent6" w:themeFillTint="3F"/>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hemeFill="accent6" w:themeFillTint="3F"/>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0000"/>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000000"/>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000000"/>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000000"/>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000000"/>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000000"/>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000000"/>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000000"/>
        </w:tcBorders>
      </w:tcPr>
    </w:tblStylePr>
    <w:tblStylePr w:type="lastRow">
      <w:rPr>
        <w:b/>
        <w:bCs/>
        <w:color w:val="000000"/>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4F81BD"/>
        </w:tcBorders>
      </w:tcPr>
    </w:tblStylePr>
    <w:tblStylePr w:type="lastRow">
      <w:rPr>
        <w:b/>
        <w:bCs/>
        <w:color w:val="000000"/>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C0504D"/>
        </w:tcBorders>
      </w:tcPr>
    </w:tblStylePr>
    <w:tblStylePr w:type="lastRow">
      <w:rPr>
        <w:b/>
        <w:bCs/>
        <w:color w:val="000000"/>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9BBB59"/>
        </w:tcBorders>
      </w:tcPr>
    </w:tblStylePr>
    <w:tblStylePr w:type="lastRow">
      <w:rPr>
        <w:b/>
        <w:bCs/>
        <w:color w:val="000000"/>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8064A2"/>
        </w:tcBorders>
      </w:tcPr>
    </w:tblStylePr>
    <w:tblStylePr w:type="lastRow">
      <w:rPr>
        <w:b/>
        <w:bCs/>
        <w:color w:val="000000"/>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4BACC6"/>
        </w:tcBorders>
      </w:tcPr>
    </w:tblStylePr>
    <w:tblStylePr w:type="lastRow">
      <w:rPr>
        <w:b/>
        <w:bCs/>
        <w:color w:val="000000"/>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F79646"/>
        </w:tcBorders>
      </w:tcPr>
    </w:tblStylePr>
    <w:tblStylePr w:type="lastRow">
      <w:rPr>
        <w:b/>
        <w:bCs/>
        <w:color w:val="000000"/>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hemeFill="background1"/>
      </w:tcPr>
    </w:tblStylePr>
    <w:tblStylePr w:type="lastRow">
      <w:tblPr/>
      <w:tcPr>
        <w:tcBorders>
          <w:top w:val="single" w:sz="8" w:space="0" w:color="00000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insideH w:val="nil"/>
          <w:insideV w:val="nil"/>
        </w:tcBorders>
        <w:shd w:val="clear" w:color="auto" w:fill="FFFFFF" w:themeFill="background1"/>
      </w:tcPr>
    </w:tblStylePr>
    <w:tblStylePr w:type="lastCol">
      <w:tblPr/>
      <w:tcPr>
        <w:tcBorders>
          <w:top w:val="nil"/>
          <w:left w:val="single" w:sz="8" w:space="0" w:color="00000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hemeFill="background1"/>
      </w:tcPr>
    </w:tblStylePr>
    <w:tblStylePr w:type="lastRow">
      <w:tblPr/>
      <w:tcPr>
        <w:tcBorders>
          <w:top w:val="single" w:sz="8" w:space="0" w:color="4F81BD"/>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insideH w:val="nil"/>
          <w:insideV w:val="nil"/>
        </w:tcBorders>
        <w:shd w:val="clear" w:color="auto" w:fill="FFFFFF" w:themeFill="background1"/>
      </w:tcPr>
    </w:tblStylePr>
    <w:tblStylePr w:type="lastCol">
      <w:tblPr/>
      <w:tcPr>
        <w:tcBorders>
          <w:top w:val="nil"/>
          <w:left w:val="single" w:sz="8" w:space="0" w:color="4F81BD"/>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hemeFill="background1"/>
      </w:tcPr>
    </w:tblStylePr>
    <w:tblStylePr w:type="lastRow">
      <w:tblPr/>
      <w:tcPr>
        <w:tcBorders>
          <w:top w:val="single" w:sz="8" w:space="0" w:color="C0504D"/>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insideH w:val="nil"/>
          <w:insideV w:val="nil"/>
        </w:tcBorders>
        <w:shd w:val="clear" w:color="auto" w:fill="FFFFFF" w:themeFill="background1"/>
      </w:tcPr>
    </w:tblStylePr>
    <w:tblStylePr w:type="lastCol">
      <w:tblPr/>
      <w:tcPr>
        <w:tcBorders>
          <w:top w:val="nil"/>
          <w:left w:val="single" w:sz="8" w:space="0" w:color="C0504D"/>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hemeFill="background1"/>
      </w:tcPr>
    </w:tblStylePr>
    <w:tblStylePr w:type="lastRow">
      <w:tblPr/>
      <w:tcPr>
        <w:tcBorders>
          <w:top w:val="single" w:sz="8" w:space="0" w:color="9BBB59"/>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insideH w:val="nil"/>
          <w:insideV w:val="nil"/>
        </w:tcBorders>
        <w:shd w:val="clear" w:color="auto" w:fill="FFFFFF" w:themeFill="background1"/>
      </w:tcPr>
    </w:tblStylePr>
    <w:tblStylePr w:type="lastCol">
      <w:tblPr/>
      <w:tcPr>
        <w:tcBorders>
          <w:top w:val="nil"/>
          <w:left w:val="single" w:sz="8" w:space="0" w:color="9BBB59"/>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hemeFill="background1"/>
      </w:tcPr>
    </w:tblStylePr>
    <w:tblStylePr w:type="lastRow">
      <w:tblPr/>
      <w:tcPr>
        <w:tcBorders>
          <w:top w:val="single" w:sz="8" w:space="0" w:color="8064A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insideH w:val="nil"/>
          <w:insideV w:val="nil"/>
        </w:tcBorders>
        <w:shd w:val="clear" w:color="auto" w:fill="FFFFFF" w:themeFill="background1"/>
      </w:tcPr>
    </w:tblStylePr>
    <w:tblStylePr w:type="lastCol">
      <w:tblPr/>
      <w:tcPr>
        <w:tcBorders>
          <w:top w:val="nil"/>
          <w:left w:val="single" w:sz="8" w:space="0" w:color="8064A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hemeFill="background1"/>
      </w:tcPr>
    </w:tblStylePr>
    <w:tblStylePr w:type="lastRow">
      <w:tblPr/>
      <w:tcPr>
        <w:tcBorders>
          <w:top w:val="single" w:sz="8" w:space="0" w:color="4BACC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insideH w:val="nil"/>
          <w:insideV w:val="nil"/>
        </w:tcBorders>
        <w:shd w:val="clear" w:color="auto" w:fill="FFFFFF" w:themeFill="background1"/>
      </w:tcPr>
    </w:tblStylePr>
    <w:tblStylePr w:type="lastCol">
      <w:tblPr/>
      <w:tcPr>
        <w:tcBorders>
          <w:top w:val="nil"/>
          <w:left w:val="single" w:sz="8" w:space="0" w:color="4BACC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hemeFill="background1"/>
      </w:tcPr>
    </w:tblStylePr>
    <w:tblStylePr w:type="lastRow">
      <w:tblPr/>
      <w:tcPr>
        <w:tcBorders>
          <w:top w:val="single" w:sz="8" w:space="0" w:color="F7964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insideH w:val="nil"/>
          <w:insideV w:val="nil"/>
        </w:tcBorders>
        <w:shd w:val="clear" w:color="auto" w:fill="FFFFFF" w:themeFill="background1"/>
      </w:tcPr>
    </w:tblStylePr>
    <w:tblStylePr w:type="lastCol">
      <w:tblPr/>
      <w:tcPr>
        <w:tcBorders>
          <w:top w:val="nil"/>
          <w:left w:val="single" w:sz="8" w:space="0" w:color="F7964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insideV w:val="single" w:sz="6" w:space="0" w:color="00000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insideV w:val="single" w:sz="6" w:space="0" w:color="4F81BD"/>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insideV w:val="single" w:sz="6" w:space="0" w:color="C0504D"/>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insideV w:val="single" w:sz="6" w:space="0" w:color="9BBB59"/>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insideV w:val="single" w:sz="6" w:space="0" w:color="8064A2"/>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insideV w:val="single" w:sz="6" w:space="0" w:color="4BACC6"/>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insideV w:val="single" w:sz="6" w:space="0" w:color="F7964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hemeFill="text1"/>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hemeFill="text1"/>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000000" w:themeFill="text1"/>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000000" w:themeFill="text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hemeFill="text1"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hemeFill="accent1"/>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hemeFill="accent1"/>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4F81BD" w:themeFill="accent1"/>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4F81BD" w:themeFill="accent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hemeFill="accent1"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hemeFill="accent2"/>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hemeFill="accent2"/>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C0504D" w:themeFill="accent2"/>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C0504D" w:themeFill="accent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hemeFill="accent2"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hemeFill="accent3"/>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hemeFill="accent3"/>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9BBB59" w:themeFill="accent3"/>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9BBB59" w:themeFill="accent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hemeFill="accent3"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hemeFill="accent4"/>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hemeFill="accent4"/>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8064A2" w:themeFill="accent4"/>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8064A2" w:themeFill="accent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hemeFill="accent4"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hemeFill="accent5"/>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hemeFill="accent5"/>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4BACC6" w:themeFill="accent5"/>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4BACC6" w:themeFill="accent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hemeFill="accent5"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hemeFill="accent6"/>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hemeFill="accent6"/>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F79646" w:themeFill="accent6"/>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F79646" w:themeFill="accent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hemeFill="accent6"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insideH w:val="nil"/>
          <w:insideV w:val="nil"/>
        </w:tcBorders>
        <w:shd w:val="clear" w:color="auto" w:fill="000000" w:themeFill="text1" w:themeFillShade="BF"/>
      </w:tcPr>
    </w:tblStylePr>
    <w:tblStylePr w:type="lastCol">
      <w:tblPr/>
      <w:tcPr>
        <w:tcBorders>
          <w:top w:val="nil"/>
          <w:left w:val="single" w:sz="18" w:space="0" w:color="FFFFFF"/>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insideH w:val="nil"/>
          <w:insideV w:val="nil"/>
        </w:tcBorders>
        <w:shd w:val="clear" w:color="auto" w:fill="365F91" w:themeFill="accent1" w:themeFillShade="BF"/>
      </w:tcPr>
    </w:tblStylePr>
    <w:tblStylePr w:type="lastCol">
      <w:tblPr/>
      <w:tcPr>
        <w:tcBorders>
          <w:top w:val="nil"/>
          <w:left w:val="single" w:sz="18" w:space="0" w:color="FFFFFF"/>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insideH w:val="nil"/>
          <w:insideV w:val="nil"/>
        </w:tcBorders>
        <w:shd w:val="clear" w:color="auto" w:fill="943634" w:themeFill="accent2" w:themeFillShade="BF"/>
      </w:tcPr>
    </w:tblStylePr>
    <w:tblStylePr w:type="lastCol">
      <w:tblPr/>
      <w:tcPr>
        <w:tcBorders>
          <w:top w:val="nil"/>
          <w:left w:val="single" w:sz="18" w:space="0" w:color="FFFFFF"/>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insideH w:val="nil"/>
          <w:insideV w:val="nil"/>
        </w:tcBorders>
        <w:shd w:val="clear" w:color="auto" w:fill="76923C" w:themeFill="accent3" w:themeFillShade="BF"/>
      </w:tcPr>
    </w:tblStylePr>
    <w:tblStylePr w:type="lastCol">
      <w:tblPr/>
      <w:tcPr>
        <w:tcBorders>
          <w:top w:val="nil"/>
          <w:left w:val="single" w:sz="18" w:space="0" w:color="FFFFFF"/>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insideH w:val="nil"/>
          <w:insideV w:val="nil"/>
        </w:tcBorders>
        <w:shd w:val="clear" w:color="auto" w:fill="5F497A" w:themeFill="accent4" w:themeFillShade="BF"/>
      </w:tcPr>
    </w:tblStylePr>
    <w:tblStylePr w:type="lastCol">
      <w:tblPr/>
      <w:tcPr>
        <w:tcBorders>
          <w:top w:val="nil"/>
          <w:left w:val="single" w:sz="18" w:space="0" w:color="FFFFFF"/>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insideH w:val="nil"/>
          <w:insideV w:val="nil"/>
        </w:tcBorders>
        <w:shd w:val="clear" w:color="auto" w:fill="31849B" w:themeFill="accent5" w:themeFillShade="BF"/>
      </w:tcPr>
    </w:tblStylePr>
    <w:tblStylePr w:type="lastCol">
      <w:tblPr/>
      <w:tcPr>
        <w:tcBorders>
          <w:top w:val="nil"/>
          <w:left w:val="single" w:sz="18" w:space="0" w:color="FFFFFF"/>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insideH w:val="nil"/>
          <w:insideV w:val="nil"/>
        </w:tcBorders>
        <w:shd w:val="clear" w:color="auto" w:fill="E36C0A" w:themeFill="accent6" w:themeFillShade="BF"/>
      </w:tcPr>
    </w:tblStylePr>
    <w:tblStylePr w:type="lastCol">
      <w:tblPr/>
      <w:tcPr>
        <w:tcBorders>
          <w:top w:val="nil"/>
          <w:left w:val="single" w:sz="18" w:space="0" w:color="FFFFFF"/>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000000" w:themeFill="text1" w:themeFillShade="99"/>
      </w:tcPr>
    </w:tblStylePr>
    <w:tblStylePr w:type="firstCol">
      <w:rPr>
        <w:color w:val="000000"/>
      </w:rPr>
      <w:tblPr/>
      <w:tcPr>
        <w:tcBorders>
          <w:top w:val="nil"/>
          <w:left w:val="nil"/>
          <w:bottom w:val="nil"/>
          <w:right w:val="nil"/>
          <w:insideH w:val="single" w:sz="4" w:space="0" w:color="000000"/>
          <w:insideV w:val="nil"/>
        </w:tcBorders>
        <w:shd w:val="clear" w:color="auto" w:fill="000000" w:themeFill="text1" w:themeFillShade="99"/>
      </w:tcPr>
    </w:tblStylePr>
    <w:tblStylePr w:type="lastCol">
      <w:rPr>
        <w:color w:val="000000"/>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2C4C74" w:themeFill="accent1" w:themeFillShade="99"/>
      </w:tcPr>
    </w:tblStylePr>
    <w:tblStylePr w:type="firstCol">
      <w:rPr>
        <w:color w:val="000000"/>
      </w:rPr>
      <w:tblPr/>
      <w:tcPr>
        <w:tcBorders>
          <w:top w:val="nil"/>
          <w:left w:val="nil"/>
          <w:bottom w:val="nil"/>
          <w:right w:val="nil"/>
          <w:insideH w:val="single" w:sz="4" w:space="0" w:color="2C4C74"/>
          <w:insideV w:val="nil"/>
        </w:tcBorders>
        <w:shd w:val="clear" w:color="auto" w:fill="2C4C74" w:themeFill="accent1" w:themeFillShade="99"/>
      </w:tcPr>
    </w:tblStylePr>
    <w:tblStylePr w:type="lastCol">
      <w:rPr>
        <w:color w:val="000000"/>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772C2A" w:themeFill="accent2" w:themeFillShade="99"/>
      </w:tcPr>
    </w:tblStylePr>
    <w:tblStylePr w:type="firstCol">
      <w:rPr>
        <w:color w:val="000000"/>
      </w:rPr>
      <w:tblPr/>
      <w:tcPr>
        <w:tcBorders>
          <w:top w:val="nil"/>
          <w:left w:val="nil"/>
          <w:bottom w:val="nil"/>
          <w:right w:val="nil"/>
          <w:insideH w:val="single" w:sz="4" w:space="0" w:color="772C2A"/>
          <w:insideV w:val="nil"/>
        </w:tcBorders>
        <w:shd w:val="clear" w:color="auto" w:fill="772C2A" w:themeFill="accent2" w:themeFillShade="99"/>
      </w:tcPr>
    </w:tblStylePr>
    <w:tblStylePr w:type="lastCol">
      <w:rPr>
        <w:color w:val="000000"/>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5E7530" w:themeFill="accent3" w:themeFillShade="99"/>
      </w:tcPr>
    </w:tblStylePr>
    <w:tblStylePr w:type="firstCol">
      <w:rPr>
        <w:color w:val="000000"/>
      </w:rPr>
      <w:tblPr/>
      <w:tcPr>
        <w:tcBorders>
          <w:top w:val="nil"/>
          <w:left w:val="nil"/>
          <w:bottom w:val="nil"/>
          <w:right w:val="nil"/>
          <w:insideH w:val="single" w:sz="4" w:space="0" w:color="5E7530"/>
          <w:insideV w:val="nil"/>
        </w:tcBorders>
        <w:shd w:val="clear" w:color="auto" w:fill="5E7530" w:themeFill="accent3" w:themeFillShade="99"/>
      </w:tcPr>
    </w:tblStylePr>
    <w:tblStylePr w:type="lastCol">
      <w:rPr>
        <w:color w:val="000000"/>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4C3B62" w:themeFill="accent4" w:themeFillShade="99"/>
      </w:tcPr>
    </w:tblStylePr>
    <w:tblStylePr w:type="firstCol">
      <w:rPr>
        <w:color w:val="000000"/>
      </w:rPr>
      <w:tblPr/>
      <w:tcPr>
        <w:tcBorders>
          <w:top w:val="nil"/>
          <w:left w:val="nil"/>
          <w:bottom w:val="nil"/>
          <w:right w:val="nil"/>
          <w:insideH w:val="single" w:sz="4" w:space="0" w:color="4C3B62"/>
          <w:insideV w:val="nil"/>
        </w:tcBorders>
        <w:shd w:val="clear" w:color="auto" w:fill="4C3B62" w:themeFill="accent4" w:themeFillShade="99"/>
      </w:tcPr>
    </w:tblStylePr>
    <w:tblStylePr w:type="lastCol">
      <w:rPr>
        <w:color w:val="000000"/>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276A7C" w:themeFill="accent5" w:themeFillShade="99"/>
      </w:tcPr>
    </w:tblStylePr>
    <w:tblStylePr w:type="firstCol">
      <w:rPr>
        <w:color w:val="000000"/>
      </w:rPr>
      <w:tblPr/>
      <w:tcPr>
        <w:tcBorders>
          <w:top w:val="nil"/>
          <w:left w:val="nil"/>
          <w:bottom w:val="nil"/>
          <w:right w:val="nil"/>
          <w:insideH w:val="single" w:sz="4" w:space="0" w:color="276A7C"/>
          <w:insideV w:val="nil"/>
        </w:tcBorders>
        <w:shd w:val="clear" w:color="auto" w:fill="276A7C" w:themeFill="accent5" w:themeFillShade="99"/>
      </w:tcPr>
    </w:tblStylePr>
    <w:tblStylePr w:type="lastCol">
      <w:rPr>
        <w:color w:val="000000"/>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B65608" w:themeFill="accent6" w:themeFillShade="99"/>
      </w:tcPr>
    </w:tblStylePr>
    <w:tblStylePr w:type="firstCol">
      <w:rPr>
        <w:color w:val="000000"/>
      </w:rPr>
      <w:tblPr/>
      <w:tcPr>
        <w:tcBorders>
          <w:top w:val="nil"/>
          <w:left w:val="nil"/>
          <w:bottom w:val="nil"/>
          <w:right w:val="nil"/>
          <w:insideH w:val="single" w:sz="4" w:space="0" w:color="B65608"/>
          <w:insideV w:val="nil"/>
        </w:tcBorders>
        <w:shd w:val="clear" w:color="auto" w:fill="B65608" w:themeFill="accent6" w:themeFillShade="99"/>
      </w:tcPr>
    </w:tblStylePr>
    <w:tblStylePr w:type="lastCol">
      <w:rPr>
        <w:color w:val="000000"/>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0000"/>
      </w:rPr>
      <w:tblPr/>
      <w:tcPr>
        <w:tcBorders>
          <w:bottom w:val="single" w:sz="12" w:space="0" w:color="FFFFFF"/>
        </w:tcBorders>
        <w:shd w:val="clear" w:color="auto" w:fill="9E3A38" w:themeFill="accent2"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000000"/>
      </w:rPr>
      <w:tblPr/>
      <w:tcPr>
        <w:tcBorders>
          <w:bottom w:val="single" w:sz="12" w:space="0" w:color="FFFFFF"/>
        </w:tcBorders>
        <w:shd w:val="clear" w:color="auto" w:fill="9E3A38" w:themeFill="accent2"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000000"/>
      </w:rPr>
      <w:tblPr/>
      <w:tcPr>
        <w:tcBorders>
          <w:bottom w:val="single" w:sz="12" w:space="0" w:color="FFFFFF"/>
        </w:tcBorders>
        <w:shd w:val="clear" w:color="auto" w:fill="9E3A38" w:themeFill="accent2"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000000"/>
      </w:rPr>
      <w:tblPr/>
      <w:tcPr>
        <w:tcBorders>
          <w:bottom w:val="single" w:sz="12" w:space="0" w:color="FFFFFF"/>
        </w:tcBorders>
        <w:shd w:val="clear" w:color="auto" w:fill="664E82" w:themeFill="accent4"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000000"/>
      </w:rPr>
      <w:tblPr/>
      <w:tcPr>
        <w:tcBorders>
          <w:bottom w:val="single" w:sz="12" w:space="0" w:color="FFFFFF"/>
        </w:tcBorders>
        <w:shd w:val="clear" w:color="auto" w:fill="7E9C40" w:themeFill="accent3"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000000"/>
      </w:rPr>
      <w:tblPr/>
      <w:tcPr>
        <w:tcBorders>
          <w:bottom w:val="single" w:sz="12" w:space="0" w:color="FFFFFF"/>
        </w:tcBorders>
        <w:shd w:val="clear" w:color="auto" w:fill="F2730A" w:themeFill="accent6"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000000"/>
      </w:rPr>
      <w:tblPr/>
      <w:tcPr>
        <w:tcBorders>
          <w:bottom w:val="single" w:sz="12" w:space="0" w:color="FFFFFF"/>
        </w:tcBorders>
        <w:shd w:val="clear" w:color="auto" w:fill="348DA5" w:themeFill="accent5"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000000"/>
      </w:rPr>
      <w:tblPr/>
      <w:tcPr>
        <w:shd w:val="clear" w:color="auto" w:fill="000000" w:themeFill="text1" w:themeFillShade="BF"/>
      </w:tcPr>
    </w:tblStylePr>
    <w:tblStylePr w:type="lastCol">
      <w:rPr>
        <w:color w:val="000000"/>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000000"/>
      </w:rPr>
      <w:tblPr/>
      <w:tcPr>
        <w:shd w:val="clear" w:color="auto" w:fill="365F91" w:themeFill="accent1" w:themeFillShade="BF"/>
      </w:tcPr>
    </w:tblStylePr>
    <w:tblStylePr w:type="lastCol">
      <w:rPr>
        <w:color w:val="000000"/>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000000"/>
      </w:rPr>
      <w:tblPr/>
      <w:tcPr>
        <w:shd w:val="clear" w:color="auto" w:fill="943634" w:themeFill="accent2" w:themeFillShade="BF"/>
      </w:tcPr>
    </w:tblStylePr>
    <w:tblStylePr w:type="lastCol">
      <w:rPr>
        <w:color w:val="000000"/>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000000"/>
      </w:rPr>
      <w:tblPr/>
      <w:tcPr>
        <w:shd w:val="clear" w:color="auto" w:fill="76923C" w:themeFill="accent3" w:themeFillShade="BF"/>
      </w:tcPr>
    </w:tblStylePr>
    <w:tblStylePr w:type="lastCol">
      <w:rPr>
        <w:color w:val="000000"/>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000000"/>
      </w:rPr>
      <w:tblPr/>
      <w:tcPr>
        <w:shd w:val="clear" w:color="auto" w:fill="5F497A" w:themeFill="accent4" w:themeFillShade="BF"/>
      </w:tcPr>
    </w:tblStylePr>
    <w:tblStylePr w:type="lastCol">
      <w:rPr>
        <w:color w:val="000000"/>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000000"/>
      </w:rPr>
      <w:tblPr/>
      <w:tcPr>
        <w:shd w:val="clear" w:color="auto" w:fill="31849B" w:themeFill="accent5" w:themeFillShade="BF"/>
      </w:tcPr>
    </w:tblStylePr>
    <w:tblStylePr w:type="lastCol">
      <w:rPr>
        <w:color w:val="000000"/>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000000"/>
      </w:rPr>
      <w:tblPr/>
      <w:tcPr>
        <w:shd w:val="clear" w:color="auto" w:fill="E36C0A" w:themeFill="accent6" w:themeFillShade="BF"/>
      </w:tcPr>
    </w:tblStylePr>
    <w:tblStylePr w:type="lastCol">
      <w:rPr>
        <w:color w:val="000000"/>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Lato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Lato Ligh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Kundeninformation zur Datenverarbeitung bei Vantero – Version 1.0</dc:title>
  <dc:subject>Versendbare Übersicht und Antwortblatt zu Datenarten, Anbietern, Verarbeitungsorten und Datenschutzanfragen</dc:subject>
  <dc:creator>Franco Consulting GmbH</dc:creator>
  <cp:keywords>Vantero, DSGVO, Datenverarbeitung, Verarbeitungsorte, Anbieter, Auskunft, Art. 15, AVV</cp:keywords>
  <dc:description>Allgemeine Kundeninformation mit ausfüllbarem Einzelfall-Antwortblatt; Stand 3. September 2026.</dc:description>
  <cp:lastModifiedBy/>
  <cp:revision>1</cp:revision>
  <dcterms:created xsi:type="dcterms:W3CDTF">2013-12-23T23:15:00Z</dcterms:created>
  <dcterms:modified xsi:type="dcterms:W3CDTF">2013-12-23T23:15:00Z</dcterms:modified>
  <cp:category/>
</cp:coreProperties>
</file>